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816E7" w14:textId="02E1AB9E" w:rsidR="00DD68FC" w:rsidRPr="00DD68FC" w:rsidRDefault="00D23BEC" w:rsidP="00A97249">
      <w:pPr>
        <w:jc w:val="center"/>
        <w:rPr>
          <w:b/>
          <w:sz w:val="32"/>
          <w:szCs w:val="32"/>
        </w:rPr>
      </w:pPr>
      <w:r w:rsidRPr="00DD68FC">
        <w:rPr>
          <w:b/>
          <w:sz w:val="32"/>
          <w:szCs w:val="32"/>
        </w:rPr>
        <w:t xml:space="preserve">America </w:t>
      </w:r>
      <w:r w:rsidR="00DD68FC">
        <w:rPr>
          <w:b/>
          <w:sz w:val="32"/>
          <w:szCs w:val="32"/>
        </w:rPr>
        <w:t>and</w:t>
      </w:r>
      <w:r w:rsidRPr="00DD68FC">
        <w:rPr>
          <w:b/>
          <w:sz w:val="32"/>
          <w:szCs w:val="32"/>
        </w:rPr>
        <w:t xml:space="preserve"> the World</w:t>
      </w:r>
    </w:p>
    <w:p w14:paraId="603D7270" w14:textId="049462F0" w:rsidR="00994210" w:rsidRPr="00B11AB7" w:rsidRDefault="00DD68FC" w:rsidP="00994210">
      <w:pPr>
        <w:jc w:val="center"/>
        <w:rPr>
          <w:sz w:val="24"/>
          <w:szCs w:val="24"/>
        </w:rPr>
      </w:pPr>
      <w:r>
        <w:rPr>
          <w:sz w:val="24"/>
          <w:szCs w:val="24"/>
        </w:rPr>
        <w:t>Political Science 372</w:t>
      </w:r>
    </w:p>
    <w:p w14:paraId="6F1C29CC" w14:textId="77777777" w:rsidR="00CE298E" w:rsidRDefault="00994210" w:rsidP="00CE298E">
      <w:pPr>
        <w:jc w:val="center"/>
        <w:rPr>
          <w:sz w:val="24"/>
          <w:szCs w:val="24"/>
        </w:rPr>
      </w:pPr>
      <w:r w:rsidRPr="00B11AB7">
        <w:rPr>
          <w:sz w:val="24"/>
          <w:szCs w:val="24"/>
        </w:rPr>
        <w:t>Northwestern University</w:t>
      </w:r>
    </w:p>
    <w:p w14:paraId="0743133E" w14:textId="10B7C147" w:rsidR="00D23BEC" w:rsidRPr="00B11AB7" w:rsidRDefault="00CE298E" w:rsidP="00CE298E">
      <w:pPr>
        <w:jc w:val="center"/>
        <w:rPr>
          <w:sz w:val="24"/>
          <w:szCs w:val="24"/>
        </w:rPr>
      </w:pPr>
      <w:r>
        <w:rPr>
          <w:sz w:val="24"/>
          <w:szCs w:val="24"/>
        </w:rPr>
        <w:t xml:space="preserve">Prof. </w:t>
      </w:r>
      <w:r w:rsidR="00D23BEC" w:rsidRPr="00B11AB7">
        <w:rPr>
          <w:sz w:val="24"/>
          <w:szCs w:val="24"/>
        </w:rPr>
        <w:t>Elizabeth Shakman Hurd</w:t>
      </w:r>
    </w:p>
    <w:p w14:paraId="72B684DD" w14:textId="77777777" w:rsidR="00D23BEC" w:rsidRPr="00B11AB7" w:rsidRDefault="00D23BEC" w:rsidP="00D23BEC">
      <w:pPr>
        <w:rPr>
          <w:sz w:val="24"/>
          <w:szCs w:val="24"/>
        </w:rPr>
      </w:pPr>
    </w:p>
    <w:p w14:paraId="747E7757" w14:textId="77777777" w:rsidR="00CE298E" w:rsidRDefault="00CE298E">
      <w:pPr>
        <w:rPr>
          <w:sz w:val="24"/>
          <w:szCs w:val="24"/>
        </w:rPr>
      </w:pPr>
    </w:p>
    <w:p w14:paraId="5F1416AF" w14:textId="33EBD2E8" w:rsidR="00D23BEC" w:rsidRDefault="00D23BEC">
      <w:pPr>
        <w:rPr>
          <w:sz w:val="24"/>
          <w:szCs w:val="24"/>
        </w:rPr>
      </w:pPr>
      <w:r w:rsidRPr="00B11AB7">
        <w:rPr>
          <w:sz w:val="24"/>
          <w:szCs w:val="24"/>
        </w:rPr>
        <w:t>This</w:t>
      </w:r>
      <w:r w:rsidR="00EE6C00">
        <w:rPr>
          <w:sz w:val="24"/>
          <w:szCs w:val="24"/>
        </w:rPr>
        <w:t xml:space="preserve"> discussion-based</w:t>
      </w:r>
      <w:r w:rsidRPr="00B11AB7">
        <w:rPr>
          <w:sz w:val="24"/>
          <w:szCs w:val="24"/>
        </w:rPr>
        <w:t xml:space="preserve"> course </w:t>
      </w:r>
      <w:r w:rsidR="00994210" w:rsidRPr="00B11AB7">
        <w:rPr>
          <w:sz w:val="24"/>
          <w:szCs w:val="24"/>
        </w:rPr>
        <w:t>covers</w:t>
      </w:r>
      <w:r w:rsidRPr="00B11AB7">
        <w:rPr>
          <w:sz w:val="24"/>
          <w:szCs w:val="24"/>
        </w:rPr>
        <w:t xml:space="preserve"> </w:t>
      </w:r>
      <w:r w:rsidR="00F47D23">
        <w:rPr>
          <w:sz w:val="24"/>
          <w:szCs w:val="24"/>
        </w:rPr>
        <w:t xml:space="preserve">key </w:t>
      </w:r>
      <w:r w:rsidR="00994210" w:rsidRPr="00B11AB7">
        <w:rPr>
          <w:sz w:val="24"/>
          <w:szCs w:val="24"/>
        </w:rPr>
        <w:t>debates and developments</w:t>
      </w:r>
      <w:r w:rsidRPr="00B11AB7">
        <w:rPr>
          <w:sz w:val="24"/>
          <w:szCs w:val="24"/>
        </w:rPr>
        <w:t xml:space="preserve"> in the history and politics of Amer</w:t>
      </w:r>
      <w:r w:rsidR="00052E4E">
        <w:rPr>
          <w:sz w:val="24"/>
          <w:szCs w:val="24"/>
        </w:rPr>
        <w:t>ican foreign relations.  Topics</w:t>
      </w:r>
      <w:r w:rsidR="00F47D23">
        <w:rPr>
          <w:sz w:val="24"/>
          <w:szCs w:val="24"/>
        </w:rPr>
        <w:t xml:space="preserve"> include</w:t>
      </w:r>
      <w:r w:rsidRPr="00B11AB7">
        <w:rPr>
          <w:sz w:val="24"/>
          <w:szCs w:val="24"/>
        </w:rPr>
        <w:t xml:space="preserve"> the </w:t>
      </w:r>
      <w:r w:rsidR="00636606">
        <w:rPr>
          <w:sz w:val="24"/>
          <w:szCs w:val="24"/>
        </w:rPr>
        <w:t>history a</w:t>
      </w:r>
      <w:r w:rsidR="00CC6F05">
        <w:rPr>
          <w:sz w:val="24"/>
          <w:szCs w:val="24"/>
        </w:rPr>
        <w:t>nd politics of manifest destiny;</w:t>
      </w:r>
      <w:r w:rsidR="00636606">
        <w:rPr>
          <w:sz w:val="24"/>
          <w:szCs w:val="24"/>
        </w:rPr>
        <w:t xml:space="preserve"> </w:t>
      </w:r>
      <w:r w:rsidR="00CC6F05">
        <w:rPr>
          <w:sz w:val="24"/>
          <w:szCs w:val="24"/>
        </w:rPr>
        <w:t xml:space="preserve">race, immigration and foreign policy; </w:t>
      </w:r>
      <w:r w:rsidR="00636606">
        <w:rPr>
          <w:sz w:val="24"/>
          <w:szCs w:val="24"/>
        </w:rPr>
        <w:t xml:space="preserve">the </w:t>
      </w:r>
      <w:r w:rsidRPr="00B11AB7">
        <w:rPr>
          <w:sz w:val="24"/>
          <w:szCs w:val="24"/>
        </w:rPr>
        <w:t>role of the United States i</w:t>
      </w:r>
      <w:r w:rsidR="00EE6C00">
        <w:rPr>
          <w:sz w:val="24"/>
          <w:szCs w:val="24"/>
        </w:rPr>
        <w:t xml:space="preserve">n the international legal order; </w:t>
      </w:r>
      <w:r w:rsidR="00CC6F05">
        <w:rPr>
          <w:sz w:val="24"/>
          <w:szCs w:val="24"/>
        </w:rPr>
        <w:t xml:space="preserve">the politics of globalization; </w:t>
      </w:r>
      <w:r w:rsidRPr="00B11AB7">
        <w:rPr>
          <w:sz w:val="24"/>
          <w:szCs w:val="24"/>
        </w:rPr>
        <w:t>r</w:t>
      </w:r>
      <w:r w:rsidR="00F47D23">
        <w:rPr>
          <w:sz w:val="24"/>
          <w:szCs w:val="24"/>
        </w:rPr>
        <w:t>eligious freedom</w:t>
      </w:r>
      <w:r w:rsidRPr="00B11AB7">
        <w:rPr>
          <w:sz w:val="24"/>
          <w:szCs w:val="24"/>
        </w:rPr>
        <w:t xml:space="preserve"> and foreign p</w:t>
      </w:r>
      <w:r w:rsidR="00636606">
        <w:rPr>
          <w:sz w:val="24"/>
          <w:szCs w:val="24"/>
        </w:rPr>
        <w:t>olicy</w:t>
      </w:r>
      <w:r w:rsidR="00CC6F05">
        <w:rPr>
          <w:sz w:val="24"/>
          <w:szCs w:val="24"/>
        </w:rPr>
        <w:t xml:space="preserve">; </w:t>
      </w:r>
      <w:r w:rsidRPr="00B11AB7">
        <w:rPr>
          <w:sz w:val="24"/>
          <w:szCs w:val="24"/>
        </w:rPr>
        <w:t>the privatization of authority an</w:t>
      </w:r>
      <w:r w:rsidR="00CC6F05">
        <w:rPr>
          <w:sz w:val="24"/>
          <w:szCs w:val="24"/>
        </w:rPr>
        <w:t>d its consequences;</w:t>
      </w:r>
      <w:r w:rsidRPr="00B11AB7">
        <w:rPr>
          <w:sz w:val="24"/>
          <w:szCs w:val="24"/>
        </w:rPr>
        <w:t xml:space="preserve"> the ethics and politics of </w:t>
      </w:r>
      <w:r w:rsidR="00994210" w:rsidRPr="00B11AB7">
        <w:rPr>
          <w:sz w:val="24"/>
          <w:szCs w:val="24"/>
        </w:rPr>
        <w:t>interventionism</w:t>
      </w:r>
      <w:r w:rsidR="00CC6F05">
        <w:rPr>
          <w:sz w:val="24"/>
          <w:szCs w:val="24"/>
        </w:rPr>
        <w:t>;</w:t>
      </w:r>
      <w:r w:rsidR="00CE2688" w:rsidRPr="00B11AB7">
        <w:rPr>
          <w:sz w:val="24"/>
          <w:szCs w:val="24"/>
        </w:rPr>
        <w:t xml:space="preserve"> </w:t>
      </w:r>
      <w:r w:rsidRPr="00B11AB7">
        <w:rPr>
          <w:sz w:val="24"/>
          <w:szCs w:val="24"/>
        </w:rPr>
        <w:t>and the politics of American relations to international institutions</w:t>
      </w:r>
      <w:r w:rsidR="00636606">
        <w:rPr>
          <w:sz w:val="24"/>
          <w:szCs w:val="24"/>
        </w:rPr>
        <w:t xml:space="preserve"> such as the International Criminal Court</w:t>
      </w:r>
      <w:r w:rsidRPr="00B11AB7">
        <w:rPr>
          <w:sz w:val="24"/>
          <w:szCs w:val="24"/>
        </w:rPr>
        <w:t xml:space="preserve">. </w:t>
      </w:r>
      <w:r w:rsidR="00994210" w:rsidRPr="00B11AB7">
        <w:rPr>
          <w:sz w:val="24"/>
          <w:szCs w:val="24"/>
        </w:rPr>
        <w:t xml:space="preserve"> </w:t>
      </w:r>
    </w:p>
    <w:p w14:paraId="1501042A" w14:textId="77777777" w:rsidR="00D94F37" w:rsidRDefault="00D94F37">
      <w:pPr>
        <w:rPr>
          <w:sz w:val="24"/>
          <w:szCs w:val="24"/>
        </w:rPr>
      </w:pPr>
    </w:p>
    <w:p w14:paraId="5682CDA0" w14:textId="7F962121" w:rsidR="00737238" w:rsidRPr="00B11AB7" w:rsidRDefault="00CE298E">
      <w:pPr>
        <w:rPr>
          <w:sz w:val="24"/>
          <w:szCs w:val="24"/>
        </w:rPr>
      </w:pPr>
      <w:r>
        <w:rPr>
          <w:sz w:val="24"/>
          <w:szCs w:val="24"/>
        </w:rPr>
        <w:t>O</w:t>
      </w:r>
      <w:r w:rsidR="00F47D23">
        <w:rPr>
          <w:sz w:val="24"/>
          <w:szCs w:val="24"/>
        </w:rPr>
        <w:t>verarching and broader themes running through the course include</w:t>
      </w:r>
      <w:r w:rsidR="00220AD1">
        <w:rPr>
          <w:sz w:val="24"/>
          <w:szCs w:val="24"/>
        </w:rPr>
        <w:t xml:space="preserve">: </w:t>
      </w:r>
      <w:r w:rsidR="00B17E2E">
        <w:rPr>
          <w:sz w:val="24"/>
          <w:szCs w:val="24"/>
        </w:rPr>
        <w:t xml:space="preserve"> </w:t>
      </w:r>
      <w:r w:rsidR="00220AD1">
        <w:rPr>
          <w:sz w:val="24"/>
          <w:szCs w:val="24"/>
        </w:rPr>
        <w:t xml:space="preserve">1) relations between </w:t>
      </w:r>
      <w:r w:rsidR="00EE6C00">
        <w:rPr>
          <w:sz w:val="24"/>
          <w:szCs w:val="24"/>
        </w:rPr>
        <w:t>domestic politics</w:t>
      </w:r>
      <w:r w:rsidR="00737238">
        <w:rPr>
          <w:sz w:val="24"/>
          <w:szCs w:val="24"/>
        </w:rPr>
        <w:t xml:space="preserve"> and American </w:t>
      </w:r>
      <w:r w:rsidR="00F47D23">
        <w:rPr>
          <w:sz w:val="24"/>
          <w:szCs w:val="24"/>
        </w:rPr>
        <w:t xml:space="preserve">foreign </w:t>
      </w:r>
      <w:r w:rsidR="00737238">
        <w:rPr>
          <w:sz w:val="24"/>
          <w:szCs w:val="24"/>
        </w:rPr>
        <w:t>engagement</w:t>
      </w:r>
      <w:r w:rsidR="00F47D23">
        <w:rPr>
          <w:sz w:val="24"/>
          <w:szCs w:val="24"/>
        </w:rPr>
        <w:t>s; 2) changing practices of</w:t>
      </w:r>
      <w:r w:rsidR="00737238">
        <w:rPr>
          <w:sz w:val="24"/>
          <w:szCs w:val="24"/>
        </w:rPr>
        <w:t xml:space="preserve"> </w:t>
      </w:r>
      <w:r w:rsidR="00F47D23">
        <w:rPr>
          <w:sz w:val="24"/>
          <w:szCs w:val="24"/>
        </w:rPr>
        <w:t xml:space="preserve">sovereign authority; 3) varieties of </w:t>
      </w:r>
      <w:r w:rsidR="00737238">
        <w:rPr>
          <w:sz w:val="24"/>
          <w:szCs w:val="24"/>
        </w:rPr>
        <w:t>U.S. interventionism</w:t>
      </w:r>
      <w:r w:rsidR="00F47D23">
        <w:rPr>
          <w:sz w:val="24"/>
          <w:szCs w:val="24"/>
        </w:rPr>
        <w:t xml:space="preserve"> abroad</w:t>
      </w:r>
      <w:r w:rsidR="00737238">
        <w:rPr>
          <w:sz w:val="24"/>
          <w:szCs w:val="24"/>
        </w:rPr>
        <w:t>; 4) implic</w:t>
      </w:r>
      <w:r w:rsidR="00B17E2E">
        <w:rPr>
          <w:sz w:val="24"/>
          <w:szCs w:val="24"/>
        </w:rPr>
        <w:t>ations of legal globalization</w:t>
      </w:r>
      <w:r w:rsidR="00D74444">
        <w:rPr>
          <w:sz w:val="24"/>
          <w:szCs w:val="24"/>
        </w:rPr>
        <w:t xml:space="preserve"> for American law, politics and foreign policy</w:t>
      </w:r>
      <w:r w:rsidR="00B17E2E">
        <w:rPr>
          <w:sz w:val="24"/>
          <w:szCs w:val="24"/>
        </w:rPr>
        <w:t xml:space="preserve">; </w:t>
      </w:r>
      <w:r w:rsidR="00737238">
        <w:rPr>
          <w:sz w:val="24"/>
          <w:szCs w:val="24"/>
        </w:rPr>
        <w:t xml:space="preserve">and 5) </w:t>
      </w:r>
      <w:r w:rsidR="00220AD1">
        <w:rPr>
          <w:sz w:val="24"/>
          <w:szCs w:val="24"/>
        </w:rPr>
        <w:t>current and future relations between the United</w:t>
      </w:r>
      <w:r w:rsidR="00B17E2E">
        <w:rPr>
          <w:sz w:val="24"/>
          <w:szCs w:val="24"/>
        </w:rPr>
        <w:t xml:space="preserve"> States and the Middle East and </w:t>
      </w:r>
      <w:r w:rsidR="00220AD1">
        <w:rPr>
          <w:sz w:val="24"/>
          <w:szCs w:val="24"/>
        </w:rPr>
        <w:t>North Africa.</w:t>
      </w:r>
    </w:p>
    <w:p w14:paraId="20B70FEB" w14:textId="77777777" w:rsidR="00D23BEC" w:rsidRPr="00B11AB7" w:rsidRDefault="00D23BEC">
      <w:pPr>
        <w:rPr>
          <w:sz w:val="24"/>
          <w:szCs w:val="24"/>
        </w:rPr>
      </w:pPr>
    </w:p>
    <w:p w14:paraId="29EA63C5" w14:textId="77777777" w:rsidR="00994210" w:rsidRPr="00B11AB7" w:rsidRDefault="00994210" w:rsidP="00994210">
      <w:pPr>
        <w:pStyle w:val="Heading2"/>
        <w:rPr>
          <w:b/>
          <w:szCs w:val="24"/>
          <w:u w:val="none"/>
        </w:rPr>
      </w:pPr>
      <w:r w:rsidRPr="00B11AB7">
        <w:rPr>
          <w:b/>
          <w:szCs w:val="24"/>
          <w:u w:val="none"/>
        </w:rPr>
        <w:t>Required Texts</w:t>
      </w:r>
    </w:p>
    <w:p w14:paraId="2002354A" w14:textId="77777777" w:rsidR="00994210" w:rsidRPr="00B11AB7" w:rsidRDefault="00994210" w:rsidP="00994210">
      <w:pPr>
        <w:rPr>
          <w:sz w:val="24"/>
          <w:szCs w:val="24"/>
        </w:rPr>
      </w:pPr>
      <w:r w:rsidRPr="00B11AB7">
        <w:rPr>
          <w:sz w:val="24"/>
          <w:szCs w:val="24"/>
        </w:rPr>
        <w:tab/>
      </w:r>
    </w:p>
    <w:p w14:paraId="0FC31E9E" w14:textId="6506B47A" w:rsidR="00994210" w:rsidRPr="00B11AB7" w:rsidRDefault="00994210" w:rsidP="00994210">
      <w:pPr>
        <w:rPr>
          <w:sz w:val="24"/>
          <w:szCs w:val="24"/>
        </w:rPr>
      </w:pPr>
      <w:r w:rsidRPr="00B11AB7">
        <w:rPr>
          <w:sz w:val="24"/>
          <w:szCs w:val="24"/>
        </w:rPr>
        <w:t xml:space="preserve">The following books are available </w:t>
      </w:r>
      <w:r w:rsidR="00E07E3A">
        <w:rPr>
          <w:sz w:val="24"/>
          <w:szCs w:val="24"/>
        </w:rPr>
        <w:t xml:space="preserve">at Beck’s </w:t>
      </w:r>
      <w:r w:rsidRPr="00B11AB7">
        <w:rPr>
          <w:sz w:val="24"/>
          <w:szCs w:val="24"/>
        </w:rPr>
        <w:t>(716 Clark S</w:t>
      </w:r>
      <w:r w:rsidR="00E07E3A">
        <w:rPr>
          <w:sz w:val="24"/>
          <w:szCs w:val="24"/>
        </w:rPr>
        <w:t>t., 847.492.1900) and on 2-hour reserve at the main l</w:t>
      </w:r>
      <w:r w:rsidRPr="00B11AB7">
        <w:rPr>
          <w:sz w:val="24"/>
          <w:szCs w:val="24"/>
        </w:rPr>
        <w:t xml:space="preserve">ibrary. </w:t>
      </w:r>
      <w:r w:rsidR="00CC6F05">
        <w:rPr>
          <w:sz w:val="24"/>
          <w:szCs w:val="24"/>
        </w:rPr>
        <w:t xml:space="preserve"> Other readings on the syllabus are </w:t>
      </w:r>
      <w:r w:rsidR="00F47D23">
        <w:rPr>
          <w:sz w:val="24"/>
          <w:szCs w:val="24"/>
        </w:rPr>
        <w:t>accessible</w:t>
      </w:r>
      <w:r w:rsidR="00CC6F05">
        <w:rPr>
          <w:sz w:val="24"/>
          <w:szCs w:val="24"/>
        </w:rPr>
        <w:t xml:space="preserve"> through Blackboard under “Course Tools—Course Reserves Administration.”</w:t>
      </w:r>
    </w:p>
    <w:p w14:paraId="4B7A58DB" w14:textId="77777777" w:rsidR="00994210" w:rsidRPr="00B11AB7" w:rsidRDefault="00994210" w:rsidP="00994210">
      <w:pPr>
        <w:rPr>
          <w:sz w:val="24"/>
          <w:szCs w:val="24"/>
        </w:rPr>
      </w:pPr>
    </w:p>
    <w:p w14:paraId="2FAFB203" w14:textId="77777777" w:rsidR="00994210" w:rsidRPr="00B11AB7" w:rsidRDefault="00994210" w:rsidP="00994210">
      <w:pPr>
        <w:rPr>
          <w:b/>
          <w:sz w:val="24"/>
          <w:szCs w:val="24"/>
        </w:rPr>
      </w:pPr>
      <w:r w:rsidRPr="00B11AB7">
        <w:rPr>
          <w:b/>
          <w:sz w:val="24"/>
          <w:szCs w:val="24"/>
        </w:rPr>
        <w:t>Books</w:t>
      </w:r>
    </w:p>
    <w:p w14:paraId="024CD883" w14:textId="77777777" w:rsidR="00994210" w:rsidRPr="00B11AB7" w:rsidRDefault="00994210" w:rsidP="00994210">
      <w:pPr>
        <w:rPr>
          <w:sz w:val="24"/>
          <w:szCs w:val="24"/>
        </w:rPr>
      </w:pPr>
    </w:p>
    <w:p w14:paraId="591ACEA3" w14:textId="17ED3CAF" w:rsidR="00FB2181" w:rsidRPr="00B11AB7" w:rsidRDefault="008F1F9C" w:rsidP="00994210">
      <w:pPr>
        <w:rPr>
          <w:sz w:val="24"/>
          <w:szCs w:val="24"/>
        </w:rPr>
      </w:pPr>
      <w:r w:rsidRPr="00B11AB7">
        <w:rPr>
          <w:sz w:val="24"/>
          <w:szCs w:val="24"/>
        </w:rPr>
        <w:t>Jonathan P. Herzog.</w:t>
      </w:r>
      <w:r w:rsidR="00FB2181" w:rsidRPr="00B11AB7">
        <w:rPr>
          <w:sz w:val="24"/>
          <w:szCs w:val="24"/>
        </w:rPr>
        <w:t xml:space="preserve"> 2011. </w:t>
      </w:r>
      <w:r w:rsidR="00FB2181" w:rsidRPr="00B11AB7">
        <w:rPr>
          <w:i/>
          <w:sz w:val="24"/>
          <w:szCs w:val="24"/>
        </w:rPr>
        <w:t>The Spiritual-Industrial Complex: America’s Religious Battle Against Communism in the Early Cold War</w:t>
      </w:r>
      <w:r w:rsidR="00FB2181" w:rsidRPr="00B11AB7">
        <w:rPr>
          <w:sz w:val="24"/>
          <w:szCs w:val="24"/>
        </w:rPr>
        <w:t>. Oxford: Oxford University Press.</w:t>
      </w:r>
    </w:p>
    <w:p w14:paraId="74763422" w14:textId="77777777" w:rsidR="00FB2181" w:rsidRPr="00B11AB7" w:rsidRDefault="00FB2181" w:rsidP="00994210">
      <w:pPr>
        <w:rPr>
          <w:sz w:val="24"/>
          <w:szCs w:val="24"/>
        </w:rPr>
      </w:pPr>
    </w:p>
    <w:p w14:paraId="5CD359C2" w14:textId="3D81E60D" w:rsidR="00E844CE" w:rsidRPr="00B11AB7" w:rsidRDefault="00E07E3A" w:rsidP="00994210">
      <w:pPr>
        <w:rPr>
          <w:sz w:val="24"/>
          <w:szCs w:val="24"/>
        </w:rPr>
      </w:pPr>
      <w:r>
        <w:rPr>
          <w:sz w:val="24"/>
          <w:szCs w:val="24"/>
        </w:rPr>
        <w:t>Arturo Escobar. 2012 (2</w:t>
      </w:r>
      <w:r w:rsidRPr="00E07E3A">
        <w:rPr>
          <w:sz w:val="24"/>
          <w:szCs w:val="24"/>
          <w:vertAlign w:val="superscript"/>
        </w:rPr>
        <w:t>nd</w:t>
      </w:r>
      <w:r>
        <w:rPr>
          <w:sz w:val="24"/>
          <w:szCs w:val="24"/>
        </w:rPr>
        <w:t xml:space="preserve"> ed.) </w:t>
      </w:r>
      <w:r w:rsidRPr="00E07E3A">
        <w:rPr>
          <w:i/>
          <w:sz w:val="24"/>
          <w:szCs w:val="24"/>
        </w:rPr>
        <w:t>Encountering Development: The Making and Unmaking of the Third World</w:t>
      </w:r>
      <w:r>
        <w:rPr>
          <w:sz w:val="24"/>
          <w:szCs w:val="24"/>
        </w:rPr>
        <w:t>. Princeton: Princeton University Press.</w:t>
      </w:r>
    </w:p>
    <w:p w14:paraId="3327570C" w14:textId="77777777" w:rsidR="00E844CE" w:rsidRPr="00B11AB7" w:rsidRDefault="00E844CE" w:rsidP="00994210">
      <w:pPr>
        <w:rPr>
          <w:sz w:val="24"/>
          <w:szCs w:val="24"/>
        </w:rPr>
      </w:pPr>
    </w:p>
    <w:p w14:paraId="09B2F961" w14:textId="73FC21DB" w:rsidR="008F1F9C" w:rsidRPr="00B11AB7" w:rsidRDefault="008F1F9C" w:rsidP="00994210">
      <w:pPr>
        <w:rPr>
          <w:sz w:val="24"/>
          <w:szCs w:val="24"/>
        </w:rPr>
      </w:pPr>
      <w:r w:rsidRPr="00B11AB7">
        <w:rPr>
          <w:sz w:val="24"/>
          <w:szCs w:val="24"/>
        </w:rPr>
        <w:t xml:space="preserve">Matthew Frye Jacobson. 2000.  </w:t>
      </w:r>
      <w:r w:rsidRPr="00B11AB7">
        <w:rPr>
          <w:i/>
          <w:sz w:val="24"/>
          <w:szCs w:val="24"/>
        </w:rPr>
        <w:t>Barbarian Virtues: The United States Encounters Foreign Peoples at Home and Abroad</w:t>
      </w:r>
      <w:r w:rsidRPr="00B11AB7">
        <w:rPr>
          <w:sz w:val="24"/>
          <w:szCs w:val="24"/>
        </w:rPr>
        <w:t>.  New York: Hill and Wang.</w:t>
      </w:r>
    </w:p>
    <w:p w14:paraId="0E7F925B" w14:textId="5B6D1950" w:rsidR="001E3D36" w:rsidRPr="00B11AB7" w:rsidRDefault="001E3D36" w:rsidP="00994210">
      <w:pPr>
        <w:rPr>
          <w:sz w:val="24"/>
          <w:szCs w:val="24"/>
        </w:rPr>
      </w:pPr>
    </w:p>
    <w:p w14:paraId="2CB32079" w14:textId="0E8513EF" w:rsidR="00486427" w:rsidRPr="00B11AB7" w:rsidRDefault="00486427" w:rsidP="00994210">
      <w:pPr>
        <w:rPr>
          <w:sz w:val="24"/>
          <w:szCs w:val="24"/>
        </w:rPr>
      </w:pPr>
      <w:r w:rsidRPr="00B11AB7">
        <w:rPr>
          <w:sz w:val="24"/>
          <w:szCs w:val="24"/>
        </w:rPr>
        <w:t xml:space="preserve">Kal Raustiala. 2011. </w:t>
      </w:r>
      <w:r w:rsidRPr="00B11AB7">
        <w:rPr>
          <w:i/>
          <w:sz w:val="24"/>
          <w:szCs w:val="24"/>
        </w:rPr>
        <w:t>Does the Constitution Fo</w:t>
      </w:r>
      <w:r w:rsidR="00075FBF" w:rsidRPr="00B11AB7">
        <w:rPr>
          <w:i/>
          <w:sz w:val="24"/>
          <w:szCs w:val="24"/>
        </w:rPr>
        <w:t xml:space="preserve">llow the Flag? The Evolution of </w:t>
      </w:r>
      <w:r w:rsidRPr="00B11AB7">
        <w:rPr>
          <w:i/>
          <w:sz w:val="24"/>
          <w:szCs w:val="24"/>
        </w:rPr>
        <w:t>Territoriality in American Law</w:t>
      </w:r>
      <w:r w:rsidRPr="00B11AB7">
        <w:rPr>
          <w:sz w:val="24"/>
          <w:szCs w:val="24"/>
        </w:rPr>
        <w:t>. Oxford: Oxford University Press.</w:t>
      </w:r>
    </w:p>
    <w:p w14:paraId="6EF17F8C" w14:textId="77777777" w:rsidR="00486427" w:rsidRPr="00B11AB7" w:rsidRDefault="00486427" w:rsidP="00994210">
      <w:pPr>
        <w:rPr>
          <w:sz w:val="24"/>
          <w:szCs w:val="24"/>
        </w:rPr>
      </w:pPr>
    </w:p>
    <w:p w14:paraId="1DB5F810" w14:textId="1D31227B" w:rsidR="00D74444" w:rsidRDefault="00486427" w:rsidP="00EE6C00">
      <w:pPr>
        <w:rPr>
          <w:sz w:val="24"/>
          <w:szCs w:val="24"/>
        </w:rPr>
      </w:pPr>
      <w:r w:rsidRPr="00B11AB7">
        <w:rPr>
          <w:sz w:val="24"/>
          <w:szCs w:val="24"/>
        </w:rPr>
        <w:t xml:space="preserve">David Ryan &amp; Patrick Kiely, eds. 2009. </w:t>
      </w:r>
      <w:r w:rsidRPr="00B11AB7">
        <w:rPr>
          <w:i/>
          <w:sz w:val="24"/>
          <w:szCs w:val="24"/>
        </w:rPr>
        <w:t>America and Iraq: Policy-making, Intervention and Regional Politics</w:t>
      </w:r>
      <w:r w:rsidRPr="00B11AB7">
        <w:rPr>
          <w:sz w:val="24"/>
          <w:szCs w:val="24"/>
        </w:rPr>
        <w:t>.  New York: Routledge.</w:t>
      </w:r>
    </w:p>
    <w:p w14:paraId="46D40A31" w14:textId="77777777" w:rsidR="00F47D23" w:rsidRPr="00EE6C00" w:rsidRDefault="00F47D23" w:rsidP="00EE6C00">
      <w:pPr>
        <w:rPr>
          <w:sz w:val="24"/>
          <w:szCs w:val="24"/>
        </w:rPr>
      </w:pPr>
    </w:p>
    <w:p w14:paraId="1E47C098" w14:textId="3B84C457" w:rsidR="00994210" w:rsidRPr="00B11AB7" w:rsidRDefault="00994210" w:rsidP="001E3D36">
      <w:pPr>
        <w:pStyle w:val="BodyText2"/>
        <w:rPr>
          <w:szCs w:val="24"/>
        </w:rPr>
      </w:pPr>
      <w:r w:rsidRPr="00B11AB7">
        <w:rPr>
          <w:szCs w:val="24"/>
        </w:rPr>
        <w:t>C</w:t>
      </w:r>
      <w:bookmarkStart w:id="0" w:name="_GoBack"/>
      <w:bookmarkEnd w:id="0"/>
      <w:r w:rsidRPr="00B11AB7">
        <w:rPr>
          <w:szCs w:val="24"/>
        </w:rPr>
        <w:t>ourse Requirements</w:t>
      </w:r>
      <w:r w:rsidR="00CC6F05">
        <w:rPr>
          <w:szCs w:val="24"/>
        </w:rPr>
        <w:t xml:space="preserve"> and Evaluation</w:t>
      </w:r>
    </w:p>
    <w:p w14:paraId="41B4487B" w14:textId="77777777" w:rsidR="00994210" w:rsidRPr="00B11AB7" w:rsidRDefault="00994210" w:rsidP="00994210">
      <w:pPr>
        <w:rPr>
          <w:sz w:val="24"/>
          <w:szCs w:val="24"/>
        </w:rPr>
      </w:pPr>
    </w:p>
    <w:p w14:paraId="3C4D788A" w14:textId="066E21AC" w:rsidR="00994210" w:rsidRPr="00B11AB7" w:rsidRDefault="00994210" w:rsidP="00994210">
      <w:pPr>
        <w:rPr>
          <w:sz w:val="24"/>
          <w:szCs w:val="24"/>
        </w:rPr>
      </w:pPr>
      <w:r w:rsidRPr="00B11AB7">
        <w:rPr>
          <w:sz w:val="24"/>
          <w:szCs w:val="24"/>
        </w:rPr>
        <w:lastRenderedPageBreak/>
        <w:t xml:space="preserve">This course entails a substantial amount of reading and preparation. </w:t>
      </w:r>
      <w:r w:rsidR="00EE6C00">
        <w:rPr>
          <w:sz w:val="24"/>
          <w:szCs w:val="24"/>
        </w:rPr>
        <w:t xml:space="preserve"> </w:t>
      </w:r>
      <w:r w:rsidRPr="00B11AB7">
        <w:rPr>
          <w:sz w:val="24"/>
          <w:szCs w:val="24"/>
        </w:rPr>
        <w:t>Attendance and participation</w:t>
      </w:r>
      <w:r w:rsidR="00D94F37">
        <w:rPr>
          <w:sz w:val="24"/>
          <w:szCs w:val="24"/>
        </w:rPr>
        <w:t>, including arriving on time,</w:t>
      </w:r>
      <w:r w:rsidRPr="00B11AB7">
        <w:rPr>
          <w:sz w:val="24"/>
          <w:szCs w:val="24"/>
        </w:rPr>
        <w:t xml:space="preserve"> are crucial components of the final grade</w:t>
      </w:r>
      <w:r w:rsidR="00EE6C00">
        <w:rPr>
          <w:sz w:val="24"/>
          <w:szCs w:val="24"/>
        </w:rPr>
        <w:t xml:space="preserve"> (30%)</w:t>
      </w:r>
      <w:r w:rsidRPr="00B11AB7">
        <w:rPr>
          <w:sz w:val="24"/>
          <w:szCs w:val="24"/>
        </w:rPr>
        <w:t xml:space="preserve">. </w:t>
      </w:r>
      <w:r w:rsidR="00D94F37">
        <w:rPr>
          <w:sz w:val="24"/>
          <w:szCs w:val="24"/>
        </w:rPr>
        <w:t xml:space="preserve"> </w:t>
      </w:r>
      <w:r w:rsidRPr="00B11AB7">
        <w:rPr>
          <w:sz w:val="24"/>
          <w:szCs w:val="24"/>
        </w:rPr>
        <w:t xml:space="preserve">Students are </w:t>
      </w:r>
      <w:r w:rsidR="00EE6C00">
        <w:rPr>
          <w:sz w:val="24"/>
          <w:szCs w:val="24"/>
        </w:rPr>
        <w:t>encouraged</w:t>
      </w:r>
      <w:r w:rsidRPr="00B11AB7">
        <w:rPr>
          <w:sz w:val="24"/>
          <w:szCs w:val="24"/>
        </w:rPr>
        <w:t xml:space="preserve"> to stay current with course-related developments by reading </w:t>
      </w:r>
      <w:r w:rsidR="00F47D23">
        <w:rPr>
          <w:sz w:val="24"/>
          <w:szCs w:val="24"/>
        </w:rPr>
        <w:t xml:space="preserve">a major </w:t>
      </w:r>
      <w:r w:rsidR="00BA5CE1">
        <w:rPr>
          <w:sz w:val="24"/>
          <w:szCs w:val="24"/>
        </w:rPr>
        <w:t xml:space="preserve">blog and/or </w:t>
      </w:r>
      <w:r w:rsidR="00F47D23">
        <w:rPr>
          <w:sz w:val="24"/>
          <w:szCs w:val="24"/>
        </w:rPr>
        <w:t>newspaper (</w:t>
      </w:r>
      <w:r w:rsidR="00BA5CE1">
        <w:rPr>
          <w:sz w:val="24"/>
          <w:szCs w:val="24"/>
        </w:rPr>
        <w:t xml:space="preserve">The Cable: </w:t>
      </w:r>
      <w:hyperlink r:id="rId8" w:history="1">
        <w:r w:rsidR="00BA5CE1" w:rsidRPr="000154C4">
          <w:rPr>
            <w:rStyle w:val="Hyperlink"/>
            <w:sz w:val="24"/>
            <w:szCs w:val="24"/>
          </w:rPr>
          <w:t>http://thecable.foreignpolicy.com/</w:t>
        </w:r>
      </w:hyperlink>
      <w:r w:rsidR="00BA5CE1">
        <w:rPr>
          <w:sz w:val="24"/>
          <w:szCs w:val="24"/>
        </w:rPr>
        <w:t xml:space="preserve">, </w:t>
      </w:r>
      <w:r w:rsidRPr="00B11AB7">
        <w:rPr>
          <w:i/>
          <w:sz w:val="24"/>
          <w:szCs w:val="24"/>
        </w:rPr>
        <w:t>The New York Times</w:t>
      </w:r>
      <w:r w:rsidRPr="00B11AB7">
        <w:rPr>
          <w:sz w:val="24"/>
          <w:szCs w:val="24"/>
        </w:rPr>
        <w:t xml:space="preserve">, </w:t>
      </w:r>
      <w:r w:rsidRPr="00B11AB7">
        <w:rPr>
          <w:i/>
          <w:sz w:val="24"/>
          <w:szCs w:val="24"/>
        </w:rPr>
        <w:t>The Financial Times</w:t>
      </w:r>
      <w:r w:rsidR="00F47D23">
        <w:rPr>
          <w:sz w:val="24"/>
          <w:szCs w:val="24"/>
        </w:rPr>
        <w:t>,</w:t>
      </w:r>
      <w:r w:rsidR="00F47D23" w:rsidRPr="00F47D23">
        <w:rPr>
          <w:i/>
          <w:sz w:val="24"/>
          <w:szCs w:val="24"/>
        </w:rPr>
        <w:t xml:space="preserve"> </w:t>
      </w:r>
      <w:r w:rsidR="00F47D23">
        <w:rPr>
          <w:i/>
          <w:sz w:val="24"/>
          <w:szCs w:val="24"/>
        </w:rPr>
        <w:t xml:space="preserve">Al-Jazeera, </w:t>
      </w:r>
      <w:r w:rsidR="00F47D23" w:rsidRPr="00F47D23">
        <w:rPr>
          <w:i/>
          <w:sz w:val="24"/>
          <w:szCs w:val="24"/>
        </w:rPr>
        <w:t xml:space="preserve">The Guardian, </w:t>
      </w:r>
      <w:r w:rsidRPr="00B11AB7">
        <w:rPr>
          <w:i/>
          <w:sz w:val="24"/>
          <w:szCs w:val="24"/>
        </w:rPr>
        <w:t>The Washington Post</w:t>
      </w:r>
      <w:r w:rsidRPr="00B11AB7">
        <w:rPr>
          <w:sz w:val="24"/>
          <w:szCs w:val="24"/>
        </w:rPr>
        <w:t>).</w:t>
      </w:r>
      <w:r w:rsidR="00EE6C00">
        <w:rPr>
          <w:sz w:val="24"/>
          <w:szCs w:val="24"/>
        </w:rPr>
        <w:t xml:space="preserve"> </w:t>
      </w:r>
      <w:r w:rsidRPr="00B11AB7">
        <w:rPr>
          <w:sz w:val="24"/>
          <w:szCs w:val="24"/>
        </w:rPr>
        <w:t xml:space="preserve"> No late work </w:t>
      </w:r>
      <w:r w:rsidR="00F47D23">
        <w:rPr>
          <w:sz w:val="24"/>
          <w:szCs w:val="24"/>
        </w:rPr>
        <w:t>is</w:t>
      </w:r>
      <w:r w:rsidRPr="00B11AB7">
        <w:rPr>
          <w:sz w:val="24"/>
          <w:szCs w:val="24"/>
        </w:rPr>
        <w:t xml:space="preserve"> accepted without a written medical excuse.</w:t>
      </w:r>
    </w:p>
    <w:p w14:paraId="03162885" w14:textId="77777777" w:rsidR="00994210" w:rsidRPr="00B11AB7" w:rsidRDefault="00994210" w:rsidP="00994210">
      <w:pPr>
        <w:pStyle w:val="BodyText"/>
        <w:rPr>
          <w:szCs w:val="24"/>
        </w:rPr>
      </w:pPr>
    </w:p>
    <w:p w14:paraId="041D1664" w14:textId="2EC04300" w:rsidR="00994210" w:rsidRPr="00B11AB7" w:rsidRDefault="00994210" w:rsidP="00994210">
      <w:pPr>
        <w:pStyle w:val="BodyText"/>
        <w:rPr>
          <w:szCs w:val="24"/>
        </w:rPr>
      </w:pPr>
      <w:r w:rsidRPr="00B11AB7">
        <w:rPr>
          <w:szCs w:val="24"/>
        </w:rPr>
        <w:t xml:space="preserve">An in-class midterm will be held on </w:t>
      </w:r>
      <w:r w:rsidR="008C349A" w:rsidRPr="00B11AB7">
        <w:rPr>
          <w:szCs w:val="24"/>
        </w:rPr>
        <w:t>Monday, February 13th</w:t>
      </w:r>
      <w:r w:rsidRPr="00B11AB7">
        <w:rPr>
          <w:szCs w:val="24"/>
        </w:rPr>
        <w:t>.</w:t>
      </w:r>
      <w:r w:rsidR="008C349A" w:rsidRPr="00B11AB7">
        <w:rPr>
          <w:szCs w:val="24"/>
        </w:rPr>
        <w:t xml:space="preserve"> </w:t>
      </w:r>
      <w:r w:rsidR="00D94F37">
        <w:rPr>
          <w:szCs w:val="24"/>
        </w:rPr>
        <w:t xml:space="preserve"> See below for details.</w:t>
      </w:r>
    </w:p>
    <w:p w14:paraId="6AF0A3EA" w14:textId="77777777" w:rsidR="008C349A" w:rsidRPr="00B11AB7" w:rsidRDefault="008C349A" w:rsidP="00994210">
      <w:pPr>
        <w:pStyle w:val="BodyText"/>
        <w:rPr>
          <w:szCs w:val="24"/>
        </w:rPr>
      </w:pPr>
    </w:p>
    <w:p w14:paraId="2352CA6A" w14:textId="20D716FE" w:rsidR="00CC6F05" w:rsidRDefault="008C349A" w:rsidP="00994210">
      <w:pPr>
        <w:pStyle w:val="BodyText"/>
        <w:rPr>
          <w:szCs w:val="24"/>
        </w:rPr>
      </w:pPr>
      <w:r w:rsidRPr="00B11AB7">
        <w:rPr>
          <w:szCs w:val="24"/>
        </w:rPr>
        <w:t>The final is a take-home exam</w:t>
      </w:r>
      <w:r w:rsidR="00994210" w:rsidRPr="00B11AB7">
        <w:rPr>
          <w:szCs w:val="24"/>
        </w:rPr>
        <w:t xml:space="preserve">.  </w:t>
      </w:r>
      <w:r w:rsidRPr="00B11AB7">
        <w:rPr>
          <w:szCs w:val="24"/>
        </w:rPr>
        <w:t>You will be given 4 questions an</w:t>
      </w:r>
      <w:r w:rsidR="00EE6C00">
        <w:rPr>
          <w:szCs w:val="24"/>
        </w:rPr>
        <w:t>d asked to respond to 3 of them,</w:t>
      </w:r>
      <w:r w:rsidRPr="00B11AB7">
        <w:rPr>
          <w:szCs w:val="24"/>
        </w:rPr>
        <w:t xml:space="preserve"> with 800 words </w:t>
      </w:r>
      <w:r w:rsidR="00B17E2E">
        <w:rPr>
          <w:szCs w:val="24"/>
        </w:rPr>
        <w:t xml:space="preserve">allocated </w:t>
      </w:r>
      <w:r w:rsidRPr="00B11AB7">
        <w:rPr>
          <w:szCs w:val="24"/>
        </w:rPr>
        <w:t xml:space="preserve">for each response.  </w:t>
      </w:r>
    </w:p>
    <w:p w14:paraId="47AC63FD" w14:textId="77777777" w:rsidR="00CC6F05" w:rsidRDefault="00CC6F05" w:rsidP="00994210">
      <w:pPr>
        <w:pStyle w:val="BodyText"/>
        <w:rPr>
          <w:szCs w:val="24"/>
        </w:rPr>
      </w:pPr>
    </w:p>
    <w:p w14:paraId="19B2926D" w14:textId="77777777" w:rsidR="00EE6C00" w:rsidRDefault="00994210" w:rsidP="00994210">
      <w:pPr>
        <w:pStyle w:val="BodyText"/>
        <w:rPr>
          <w:szCs w:val="24"/>
        </w:rPr>
      </w:pPr>
      <w:r w:rsidRPr="00B11AB7">
        <w:rPr>
          <w:szCs w:val="24"/>
        </w:rPr>
        <w:t xml:space="preserve">Final grades will be based on: </w:t>
      </w:r>
    </w:p>
    <w:p w14:paraId="7613A094" w14:textId="77777777" w:rsidR="00EE6C00" w:rsidRDefault="00EE6C00" w:rsidP="00994210">
      <w:pPr>
        <w:pStyle w:val="BodyText"/>
        <w:rPr>
          <w:szCs w:val="24"/>
        </w:rPr>
      </w:pPr>
    </w:p>
    <w:p w14:paraId="1394DB63" w14:textId="388FCFDB" w:rsidR="00EE6C00" w:rsidRDefault="00EE6C00" w:rsidP="00EE6C00">
      <w:pPr>
        <w:pStyle w:val="BodyText"/>
        <w:numPr>
          <w:ilvl w:val="0"/>
          <w:numId w:val="2"/>
        </w:numPr>
        <w:rPr>
          <w:szCs w:val="24"/>
        </w:rPr>
      </w:pPr>
      <w:r>
        <w:rPr>
          <w:szCs w:val="24"/>
        </w:rPr>
        <w:t>A</w:t>
      </w:r>
      <w:r w:rsidR="00994210" w:rsidRPr="00B11AB7">
        <w:rPr>
          <w:szCs w:val="24"/>
        </w:rPr>
        <w:t>tte</w:t>
      </w:r>
      <w:r w:rsidR="00CC6F05">
        <w:rPr>
          <w:szCs w:val="24"/>
        </w:rPr>
        <w:t>ndance and participation: (3</w:t>
      </w:r>
      <w:r>
        <w:rPr>
          <w:szCs w:val="24"/>
        </w:rPr>
        <w:t>0%)</w:t>
      </w:r>
    </w:p>
    <w:p w14:paraId="7FEB3C67" w14:textId="66760AC6" w:rsidR="00EE6C00" w:rsidRDefault="00EE6C00" w:rsidP="00EE6C00">
      <w:pPr>
        <w:pStyle w:val="BodyText"/>
        <w:numPr>
          <w:ilvl w:val="0"/>
          <w:numId w:val="2"/>
        </w:numPr>
        <w:rPr>
          <w:szCs w:val="24"/>
        </w:rPr>
      </w:pPr>
      <w:r>
        <w:rPr>
          <w:szCs w:val="24"/>
        </w:rPr>
        <w:t>M</w:t>
      </w:r>
      <w:r w:rsidR="00CC6F05">
        <w:rPr>
          <w:szCs w:val="24"/>
        </w:rPr>
        <w:t>idterm (3</w:t>
      </w:r>
      <w:r>
        <w:rPr>
          <w:szCs w:val="24"/>
        </w:rPr>
        <w:t>0%)</w:t>
      </w:r>
    </w:p>
    <w:p w14:paraId="2CCD3193" w14:textId="46A2FEBE" w:rsidR="00994210" w:rsidRPr="00B11AB7" w:rsidRDefault="00EE6C00" w:rsidP="00EE6C00">
      <w:pPr>
        <w:pStyle w:val="BodyText"/>
        <w:numPr>
          <w:ilvl w:val="0"/>
          <w:numId w:val="2"/>
        </w:numPr>
        <w:rPr>
          <w:szCs w:val="24"/>
        </w:rPr>
      </w:pPr>
      <w:r>
        <w:rPr>
          <w:szCs w:val="24"/>
        </w:rPr>
        <w:t>Final exam: (40%)</w:t>
      </w:r>
    </w:p>
    <w:p w14:paraId="56F39C68" w14:textId="77777777" w:rsidR="00994210" w:rsidRPr="00B11AB7" w:rsidRDefault="00994210" w:rsidP="00994210">
      <w:pPr>
        <w:pStyle w:val="Heading5"/>
        <w:rPr>
          <w:szCs w:val="24"/>
        </w:rPr>
      </w:pPr>
    </w:p>
    <w:p w14:paraId="5AC430F9" w14:textId="115D8C39" w:rsidR="00994210" w:rsidRPr="00B11AB7" w:rsidRDefault="00994210" w:rsidP="00994210">
      <w:pPr>
        <w:pStyle w:val="Body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B11AB7">
        <w:rPr>
          <w:szCs w:val="24"/>
        </w:rPr>
        <w:t xml:space="preserve">Final exams will be kept and made available for retrieval two weeks into </w:t>
      </w:r>
      <w:r w:rsidR="008C349A" w:rsidRPr="00B11AB7">
        <w:rPr>
          <w:szCs w:val="24"/>
        </w:rPr>
        <w:t>spring quarter 2012</w:t>
      </w:r>
      <w:r w:rsidRPr="00B11AB7">
        <w:rPr>
          <w:szCs w:val="24"/>
        </w:rPr>
        <w:t xml:space="preserve"> during Professor Hurd’s regular office hours, after which they will be discarded. </w:t>
      </w:r>
      <w:r w:rsidR="008C349A" w:rsidRPr="00B11AB7">
        <w:rPr>
          <w:szCs w:val="24"/>
        </w:rPr>
        <w:t xml:space="preserve"> </w:t>
      </w:r>
      <w:r w:rsidRPr="00B11AB7">
        <w:rPr>
          <w:szCs w:val="24"/>
        </w:rPr>
        <w:t>If you are unable to pick up your exam at the scheduled time and place and before the two-week period has passed, you should inform the professor to arrange</w:t>
      </w:r>
      <w:r w:rsidR="00CC6F05">
        <w:rPr>
          <w:szCs w:val="24"/>
        </w:rPr>
        <w:t xml:space="preserve"> an alternate</w:t>
      </w:r>
      <w:r w:rsidRPr="00B11AB7">
        <w:rPr>
          <w:szCs w:val="24"/>
        </w:rPr>
        <w:t xml:space="preserve"> means of delivery.</w:t>
      </w:r>
    </w:p>
    <w:p w14:paraId="27800589" w14:textId="77777777" w:rsidR="00994210" w:rsidRPr="00B11AB7" w:rsidRDefault="00994210" w:rsidP="00994210">
      <w:pPr>
        <w:pStyle w:val="Heading5"/>
        <w:rPr>
          <w:szCs w:val="24"/>
        </w:rPr>
      </w:pPr>
    </w:p>
    <w:p w14:paraId="0C5597D1" w14:textId="75C19D48" w:rsidR="004F1652" w:rsidRDefault="004F1652" w:rsidP="00994210">
      <w:pPr>
        <w:pStyle w:val="Heading5"/>
        <w:rPr>
          <w:szCs w:val="24"/>
        </w:rPr>
      </w:pPr>
      <w:r>
        <w:rPr>
          <w:szCs w:val="24"/>
        </w:rPr>
        <w:t>Policy on use of personal technology</w:t>
      </w:r>
    </w:p>
    <w:p w14:paraId="095BDA0E" w14:textId="77777777" w:rsidR="004F1652" w:rsidRDefault="004F1652" w:rsidP="004F1652"/>
    <w:p w14:paraId="0F3ECB17" w14:textId="3C2075E2" w:rsidR="004F1652" w:rsidRDefault="002170FC" w:rsidP="002170FC">
      <w:pPr>
        <w:rPr>
          <w:sz w:val="24"/>
          <w:szCs w:val="24"/>
        </w:rPr>
      </w:pPr>
      <w:r w:rsidRPr="005101F0">
        <w:rPr>
          <w:b/>
          <w:i/>
          <w:sz w:val="24"/>
          <w:szCs w:val="24"/>
        </w:rPr>
        <w:t>Personal computers are not allowed in class</w:t>
      </w:r>
      <w:r w:rsidRPr="005101F0">
        <w:rPr>
          <w:b/>
          <w:sz w:val="24"/>
          <w:szCs w:val="24"/>
        </w:rPr>
        <w:t xml:space="preserve">. </w:t>
      </w:r>
      <w:r>
        <w:rPr>
          <w:sz w:val="24"/>
          <w:szCs w:val="24"/>
        </w:rPr>
        <w:t xml:space="preserve"> </w:t>
      </w:r>
      <w:r w:rsidR="000066CF">
        <w:rPr>
          <w:sz w:val="24"/>
          <w:szCs w:val="24"/>
        </w:rPr>
        <w:t>This is a discussion-based course</w:t>
      </w:r>
      <w:r w:rsidR="00B17E2E">
        <w:rPr>
          <w:sz w:val="24"/>
          <w:szCs w:val="24"/>
        </w:rPr>
        <w:t xml:space="preserve"> and students are required </w:t>
      </w:r>
      <w:r w:rsidR="00B17E2E" w:rsidRPr="002170FC">
        <w:rPr>
          <w:sz w:val="24"/>
          <w:szCs w:val="24"/>
        </w:rPr>
        <w:t>to listen to others</w:t>
      </w:r>
      <w:r w:rsidR="00F47D23">
        <w:rPr>
          <w:sz w:val="24"/>
          <w:szCs w:val="24"/>
        </w:rPr>
        <w:t xml:space="preserve"> and </w:t>
      </w:r>
      <w:r w:rsidR="00B17E2E" w:rsidRPr="002170FC">
        <w:rPr>
          <w:sz w:val="24"/>
          <w:szCs w:val="24"/>
        </w:rPr>
        <w:t>participate</w:t>
      </w:r>
      <w:r w:rsidR="00F47D23">
        <w:rPr>
          <w:sz w:val="24"/>
          <w:szCs w:val="24"/>
        </w:rPr>
        <w:t xml:space="preserve"> actively</w:t>
      </w:r>
      <w:r w:rsidR="00CC6F05" w:rsidRPr="002170FC">
        <w:rPr>
          <w:sz w:val="24"/>
          <w:szCs w:val="24"/>
        </w:rPr>
        <w:t xml:space="preserve"> in discussion</w:t>
      </w:r>
      <w:r w:rsidR="000066CF" w:rsidRPr="002170FC">
        <w:rPr>
          <w:sz w:val="24"/>
          <w:szCs w:val="24"/>
        </w:rPr>
        <w:t>.</w:t>
      </w:r>
      <w:r w:rsidR="000066CF">
        <w:rPr>
          <w:sz w:val="24"/>
          <w:szCs w:val="24"/>
        </w:rPr>
        <w:t xml:space="preserve"> </w:t>
      </w:r>
    </w:p>
    <w:p w14:paraId="08664252" w14:textId="77777777" w:rsidR="002170FC" w:rsidRPr="00B11AB7" w:rsidRDefault="002170FC" w:rsidP="002170FC">
      <w:pPr>
        <w:rPr>
          <w:szCs w:val="24"/>
        </w:rPr>
      </w:pPr>
    </w:p>
    <w:p w14:paraId="7701F9E2" w14:textId="77777777" w:rsidR="004F1652" w:rsidRPr="00B11AB7" w:rsidRDefault="004F1652" w:rsidP="004F1652">
      <w:pPr>
        <w:pStyle w:val="Heading5"/>
        <w:widowControl w:val="0"/>
        <w:autoSpaceDE w:val="0"/>
        <w:autoSpaceDN w:val="0"/>
        <w:adjustRightInd w:val="0"/>
        <w:rPr>
          <w:szCs w:val="24"/>
        </w:rPr>
      </w:pPr>
      <w:r w:rsidRPr="00B11AB7">
        <w:rPr>
          <w:szCs w:val="24"/>
        </w:rPr>
        <w:t>Academic Integrity</w:t>
      </w:r>
    </w:p>
    <w:p w14:paraId="21DC4CB6" w14:textId="77777777" w:rsidR="004F1652" w:rsidRPr="00B11AB7" w:rsidRDefault="004F1652" w:rsidP="004F1652">
      <w:pPr>
        <w:widowControl w:val="0"/>
        <w:autoSpaceDE w:val="0"/>
        <w:autoSpaceDN w:val="0"/>
        <w:adjustRightInd w:val="0"/>
        <w:rPr>
          <w:sz w:val="24"/>
          <w:szCs w:val="24"/>
        </w:rPr>
      </w:pPr>
      <w:r w:rsidRPr="00B11AB7">
        <w:rPr>
          <w:sz w:val="24"/>
          <w:szCs w:val="24"/>
        </w:rPr>
        <w:t> </w:t>
      </w:r>
    </w:p>
    <w:p w14:paraId="1B77B477" w14:textId="77777777" w:rsidR="004F1652" w:rsidRPr="00B11AB7" w:rsidRDefault="004F1652" w:rsidP="004F1652">
      <w:pPr>
        <w:widowControl w:val="0"/>
        <w:autoSpaceDE w:val="0"/>
        <w:autoSpaceDN w:val="0"/>
        <w:adjustRightInd w:val="0"/>
        <w:rPr>
          <w:sz w:val="24"/>
          <w:szCs w:val="24"/>
        </w:rPr>
      </w:pPr>
      <w:r w:rsidRPr="00B11AB7">
        <w:rPr>
          <w:sz w:val="24"/>
          <w:szCs w:val="24"/>
        </w:rPr>
        <w:t xml:space="preserve">Any student who violates the University’s principles of academic integrity will automatically fail this course and be referred to the Associate Dean for Undergraduate Studies’ office for further action by the University. There are no exceptions. The Dean’s policy for WCAS is available at: </w:t>
      </w:r>
    </w:p>
    <w:p w14:paraId="5A53049B" w14:textId="77777777" w:rsidR="004F1652" w:rsidRPr="00B11AB7" w:rsidRDefault="004F1652" w:rsidP="004F1652">
      <w:pPr>
        <w:widowControl w:val="0"/>
        <w:autoSpaceDE w:val="0"/>
        <w:autoSpaceDN w:val="0"/>
        <w:adjustRightInd w:val="0"/>
        <w:rPr>
          <w:sz w:val="24"/>
          <w:szCs w:val="24"/>
        </w:rPr>
      </w:pPr>
    </w:p>
    <w:p w14:paraId="1E446273" w14:textId="59A80433" w:rsidR="00B17E2E" w:rsidRPr="00D74444" w:rsidRDefault="00A97249" w:rsidP="00D74444">
      <w:pPr>
        <w:widowControl w:val="0"/>
        <w:autoSpaceDE w:val="0"/>
        <w:autoSpaceDN w:val="0"/>
        <w:adjustRightInd w:val="0"/>
        <w:rPr>
          <w:sz w:val="24"/>
          <w:szCs w:val="24"/>
        </w:rPr>
      </w:pPr>
      <w:hyperlink r:id="rId9" w:history="1">
        <w:r w:rsidR="004F1652" w:rsidRPr="00B11AB7">
          <w:rPr>
            <w:color w:val="0000F0"/>
            <w:sz w:val="24"/>
            <w:szCs w:val="24"/>
            <w:u w:val="single" w:color="0000F0"/>
          </w:rPr>
          <w:t>http://www.wcas.northwestern.edu/advising/academic.html</w:t>
        </w:r>
      </w:hyperlink>
      <w:r w:rsidR="004F1652" w:rsidRPr="00B11AB7">
        <w:rPr>
          <w:sz w:val="24"/>
          <w:szCs w:val="24"/>
        </w:rPr>
        <w:t>.</w:t>
      </w:r>
    </w:p>
    <w:p w14:paraId="4B45A8FA" w14:textId="77777777" w:rsidR="00EE6C00" w:rsidRDefault="00EE6C00" w:rsidP="00994210">
      <w:pPr>
        <w:pStyle w:val="Heading5"/>
        <w:rPr>
          <w:szCs w:val="24"/>
        </w:rPr>
      </w:pPr>
    </w:p>
    <w:p w14:paraId="4A706E03" w14:textId="77777777" w:rsidR="00EE6C00" w:rsidRPr="00EE6C00" w:rsidRDefault="00EE6C00" w:rsidP="00EE6C00"/>
    <w:p w14:paraId="75611FE0" w14:textId="77777777" w:rsidR="00994210" w:rsidRPr="00DD68FC" w:rsidRDefault="00994210" w:rsidP="00994210">
      <w:pPr>
        <w:pStyle w:val="Heading5"/>
        <w:rPr>
          <w:sz w:val="28"/>
          <w:szCs w:val="28"/>
        </w:rPr>
      </w:pPr>
      <w:r w:rsidRPr="00DD68FC">
        <w:rPr>
          <w:sz w:val="28"/>
          <w:szCs w:val="28"/>
        </w:rPr>
        <w:t>Course Topics</w:t>
      </w:r>
    </w:p>
    <w:p w14:paraId="2A10BCAD" w14:textId="77777777" w:rsidR="00994210" w:rsidRPr="00DD68FC" w:rsidRDefault="00994210" w:rsidP="00994210">
      <w:pPr>
        <w:pStyle w:val="Heading5"/>
        <w:rPr>
          <w:sz w:val="28"/>
          <w:szCs w:val="28"/>
          <w:u w:val="single"/>
        </w:rPr>
      </w:pPr>
    </w:p>
    <w:p w14:paraId="5F230CB1" w14:textId="1B059956" w:rsidR="00994210" w:rsidRDefault="00B17E2E" w:rsidP="00994210">
      <w:pPr>
        <w:pStyle w:val="BodyTextIndent"/>
        <w:ind w:left="1440" w:hanging="1440"/>
        <w:rPr>
          <w:b/>
          <w:sz w:val="28"/>
          <w:szCs w:val="28"/>
        </w:rPr>
      </w:pPr>
      <w:r w:rsidRPr="00DD68FC">
        <w:rPr>
          <w:b/>
          <w:sz w:val="28"/>
          <w:szCs w:val="28"/>
        </w:rPr>
        <w:t>I.</w:t>
      </w:r>
      <w:r w:rsidRPr="00DD68FC">
        <w:rPr>
          <w:b/>
          <w:sz w:val="28"/>
          <w:szCs w:val="28"/>
        </w:rPr>
        <w:tab/>
        <w:t>America &amp; the world: histories of the present</w:t>
      </w:r>
    </w:p>
    <w:p w14:paraId="53B2317E" w14:textId="77777777" w:rsidR="00A97249" w:rsidRPr="00DD68FC" w:rsidRDefault="00A97249" w:rsidP="00994210">
      <w:pPr>
        <w:pStyle w:val="BodyTextIndent"/>
        <w:ind w:left="1440" w:hanging="1440"/>
        <w:rPr>
          <w:b/>
          <w:sz w:val="28"/>
          <w:szCs w:val="28"/>
        </w:rPr>
      </w:pPr>
    </w:p>
    <w:p w14:paraId="5EAAC5F4" w14:textId="77777777" w:rsidR="00994210" w:rsidRPr="00B11AB7" w:rsidRDefault="00994210" w:rsidP="00994210">
      <w:pPr>
        <w:pStyle w:val="Heading5"/>
        <w:rPr>
          <w:b w:val="0"/>
          <w:szCs w:val="24"/>
          <w:u w:val="single"/>
        </w:rPr>
      </w:pPr>
    </w:p>
    <w:p w14:paraId="587911CF" w14:textId="48E13601" w:rsidR="00994210" w:rsidRPr="00B11AB7" w:rsidRDefault="00D02BD8" w:rsidP="00994210">
      <w:pPr>
        <w:pStyle w:val="Heading5"/>
        <w:rPr>
          <w:szCs w:val="24"/>
        </w:rPr>
      </w:pPr>
      <w:r w:rsidRPr="00B11AB7">
        <w:rPr>
          <w:b w:val="0"/>
          <w:szCs w:val="24"/>
          <w:u w:val="single"/>
        </w:rPr>
        <w:t>Jan. 3</w:t>
      </w:r>
      <w:r w:rsidR="00661572" w:rsidRPr="00B11AB7">
        <w:rPr>
          <w:b w:val="0"/>
          <w:szCs w:val="24"/>
          <w:u w:val="single"/>
        </w:rPr>
        <w:t>:</w:t>
      </w:r>
      <w:r w:rsidR="00994210" w:rsidRPr="00B11AB7">
        <w:rPr>
          <w:b w:val="0"/>
          <w:szCs w:val="24"/>
        </w:rPr>
        <w:tab/>
        <w:t>Introduction</w:t>
      </w:r>
    </w:p>
    <w:p w14:paraId="043812DF" w14:textId="32D1B223" w:rsidR="00994210" w:rsidRPr="00B11AB7" w:rsidRDefault="00994210" w:rsidP="00994210">
      <w:pPr>
        <w:pStyle w:val="BodyText"/>
        <w:rPr>
          <w:szCs w:val="24"/>
        </w:rPr>
      </w:pPr>
      <w:r w:rsidRPr="00B11AB7">
        <w:rPr>
          <w:szCs w:val="24"/>
        </w:rPr>
        <w:tab/>
      </w:r>
      <w:r w:rsidRPr="00B11AB7">
        <w:rPr>
          <w:szCs w:val="24"/>
        </w:rPr>
        <w:tab/>
      </w:r>
      <w:r w:rsidRPr="00B11AB7">
        <w:rPr>
          <w:szCs w:val="24"/>
        </w:rPr>
        <w:tab/>
      </w:r>
    </w:p>
    <w:p w14:paraId="7638996D" w14:textId="3C23DC3F" w:rsidR="00994210" w:rsidRPr="00B11AB7" w:rsidRDefault="00410CDB" w:rsidP="00994210">
      <w:pPr>
        <w:pStyle w:val="BodyTextIndent"/>
        <w:ind w:left="1440" w:hanging="1440"/>
        <w:rPr>
          <w:szCs w:val="24"/>
        </w:rPr>
      </w:pPr>
      <w:r w:rsidRPr="00B11AB7">
        <w:rPr>
          <w:szCs w:val="24"/>
        </w:rPr>
        <w:tab/>
        <w:t>No reading.</w:t>
      </w:r>
    </w:p>
    <w:p w14:paraId="6E513324" w14:textId="77777777" w:rsidR="00410CDB" w:rsidRPr="00B11AB7" w:rsidRDefault="00410CDB" w:rsidP="00994210">
      <w:pPr>
        <w:pStyle w:val="BodyTextIndent"/>
        <w:ind w:left="1440" w:hanging="1440"/>
        <w:rPr>
          <w:szCs w:val="24"/>
        </w:rPr>
      </w:pPr>
    </w:p>
    <w:p w14:paraId="0D09153C" w14:textId="1BB32E4C" w:rsidR="00994210" w:rsidRPr="00B11AB7" w:rsidRDefault="00D02BD8" w:rsidP="00575D29">
      <w:pPr>
        <w:pStyle w:val="BodyTextIndent"/>
        <w:ind w:left="0"/>
        <w:rPr>
          <w:szCs w:val="24"/>
        </w:rPr>
      </w:pPr>
      <w:r w:rsidRPr="00B11AB7">
        <w:rPr>
          <w:szCs w:val="24"/>
          <w:u w:val="single"/>
        </w:rPr>
        <w:t>Jan. 4</w:t>
      </w:r>
      <w:r w:rsidR="00994210" w:rsidRPr="00B11AB7">
        <w:rPr>
          <w:szCs w:val="24"/>
        </w:rPr>
        <w:t xml:space="preserve">: </w:t>
      </w:r>
      <w:r w:rsidR="00994210" w:rsidRPr="00B11AB7">
        <w:rPr>
          <w:szCs w:val="24"/>
        </w:rPr>
        <w:tab/>
      </w:r>
      <w:r w:rsidR="00661572" w:rsidRPr="00B11AB7">
        <w:rPr>
          <w:szCs w:val="24"/>
        </w:rPr>
        <w:tab/>
      </w:r>
      <w:r w:rsidR="009D22A8">
        <w:rPr>
          <w:szCs w:val="24"/>
        </w:rPr>
        <w:t>The early Republic and t</w:t>
      </w:r>
      <w:r w:rsidR="001E3D36" w:rsidRPr="00B11AB7">
        <w:rPr>
          <w:szCs w:val="24"/>
        </w:rPr>
        <w:t>he politics of manifest d</w:t>
      </w:r>
      <w:r w:rsidR="00575D29" w:rsidRPr="00B11AB7">
        <w:rPr>
          <w:szCs w:val="24"/>
        </w:rPr>
        <w:t>estiny</w:t>
      </w:r>
    </w:p>
    <w:p w14:paraId="7D7BE96B" w14:textId="77777777" w:rsidR="00575D29" w:rsidRPr="00B11AB7" w:rsidRDefault="00575D29" w:rsidP="00575D29">
      <w:pPr>
        <w:pStyle w:val="BodyTextIndent"/>
        <w:ind w:left="0"/>
        <w:rPr>
          <w:szCs w:val="24"/>
        </w:rPr>
      </w:pPr>
    </w:p>
    <w:p w14:paraId="22C430BF" w14:textId="534EC188" w:rsidR="00575D29" w:rsidRPr="00D92496" w:rsidRDefault="00D92496" w:rsidP="00D92496">
      <w:pPr>
        <w:ind w:left="1440"/>
        <w:rPr>
          <w:sz w:val="24"/>
          <w:szCs w:val="24"/>
        </w:rPr>
      </w:pPr>
      <w:r w:rsidRPr="00B11AB7">
        <w:rPr>
          <w:sz w:val="24"/>
          <w:szCs w:val="24"/>
        </w:rPr>
        <w:t>Anders Stephanson. 2000 (5</w:t>
      </w:r>
      <w:r w:rsidRPr="00B11AB7">
        <w:rPr>
          <w:sz w:val="24"/>
          <w:szCs w:val="24"/>
          <w:vertAlign w:val="superscript"/>
        </w:rPr>
        <w:t>th</w:t>
      </w:r>
      <w:r w:rsidRPr="00B11AB7">
        <w:rPr>
          <w:sz w:val="24"/>
          <w:szCs w:val="24"/>
        </w:rPr>
        <w:t xml:space="preserve"> ed.) </w:t>
      </w:r>
      <w:r w:rsidRPr="00B11AB7">
        <w:rPr>
          <w:i/>
          <w:sz w:val="24"/>
          <w:szCs w:val="24"/>
        </w:rPr>
        <w:t>Manifest Destiny: American Expansion and the Empire of Right</w:t>
      </w:r>
      <w:r w:rsidRPr="00B11AB7">
        <w:rPr>
          <w:sz w:val="24"/>
          <w:szCs w:val="24"/>
        </w:rPr>
        <w:t xml:space="preserve">. New York: Hill and </w:t>
      </w:r>
      <w:r w:rsidRPr="00D92496">
        <w:rPr>
          <w:sz w:val="24"/>
          <w:szCs w:val="24"/>
        </w:rPr>
        <w:t>Wang</w:t>
      </w:r>
      <w:r w:rsidR="00575D29" w:rsidRPr="00D92496">
        <w:rPr>
          <w:sz w:val="24"/>
          <w:szCs w:val="24"/>
        </w:rPr>
        <w:t>, xi-27; 112-129.</w:t>
      </w:r>
    </w:p>
    <w:p w14:paraId="30805858" w14:textId="6BBF397A" w:rsidR="00994210" w:rsidRPr="00B11AB7" w:rsidRDefault="00994210" w:rsidP="00994210">
      <w:pPr>
        <w:rPr>
          <w:sz w:val="24"/>
          <w:szCs w:val="24"/>
        </w:rPr>
      </w:pPr>
    </w:p>
    <w:p w14:paraId="4A4D1187" w14:textId="413F3076" w:rsidR="00575D29" w:rsidRPr="00B11AB7" w:rsidRDefault="00D02BD8" w:rsidP="0025794F">
      <w:pPr>
        <w:pStyle w:val="BodyTextIndent"/>
        <w:ind w:left="0"/>
        <w:rPr>
          <w:szCs w:val="24"/>
        </w:rPr>
      </w:pPr>
      <w:r w:rsidRPr="00B11AB7">
        <w:rPr>
          <w:szCs w:val="24"/>
          <w:u w:val="single"/>
        </w:rPr>
        <w:t xml:space="preserve">Jan. </w:t>
      </w:r>
      <w:r w:rsidR="00994210" w:rsidRPr="00B11AB7">
        <w:rPr>
          <w:szCs w:val="24"/>
          <w:u w:val="single"/>
        </w:rPr>
        <w:t>9</w:t>
      </w:r>
      <w:r w:rsidR="00994210" w:rsidRPr="00B11AB7">
        <w:rPr>
          <w:szCs w:val="24"/>
        </w:rPr>
        <w:t>:</w:t>
      </w:r>
      <w:r w:rsidR="00FB2181" w:rsidRPr="00B11AB7">
        <w:rPr>
          <w:szCs w:val="24"/>
        </w:rPr>
        <w:tab/>
      </w:r>
      <w:r w:rsidR="00661572" w:rsidRPr="00B11AB7">
        <w:rPr>
          <w:szCs w:val="24"/>
        </w:rPr>
        <w:tab/>
      </w:r>
      <w:r w:rsidR="009D22A8">
        <w:rPr>
          <w:szCs w:val="24"/>
        </w:rPr>
        <w:t>I</w:t>
      </w:r>
      <w:r w:rsidR="0025794F" w:rsidRPr="00B11AB7">
        <w:rPr>
          <w:szCs w:val="24"/>
        </w:rPr>
        <w:t>mmigration and imperialism</w:t>
      </w:r>
      <w:r w:rsidR="006204B9">
        <w:rPr>
          <w:szCs w:val="24"/>
        </w:rPr>
        <w:t xml:space="preserve"> in the late</w:t>
      </w:r>
      <w:r w:rsidR="009D22A8">
        <w:rPr>
          <w:szCs w:val="24"/>
        </w:rPr>
        <w:t xml:space="preserve"> 19</w:t>
      </w:r>
      <w:r w:rsidR="006204B9">
        <w:rPr>
          <w:szCs w:val="24"/>
          <w:vertAlign w:val="superscript"/>
        </w:rPr>
        <w:t xml:space="preserve">th </w:t>
      </w:r>
      <w:r w:rsidR="006204B9">
        <w:rPr>
          <w:szCs w:val="24"/>
        </w:rPr>
        <w:t>and early 20</w:t>
      </w:r>
      <w:r w:rsidR="006204B9" w:rsidRPr="006204B9">
        <w:rPr>
          <w:szCs w:val="24"/>
          <w:vertAlign w:val="superscript"/>
        </w:rPr>
        <w:t>th</w:t>
      </w:r>
      <w:r w:rsidR="006204B9">
        <w:rPr>
          <w:szCs w:val="24"/>
        </w:rPr>
        <w:t xml:space="preserve"> centuries</w:t>
      </w:r>
    </w:p>
    <w:p w14:paraId="268C1F30" w14:textId="77777777" w:rsidR="0025794F" w:rsidRPr="00B11AB7" w:rsidRDefault="0025794F" w:rsidP="0025794F">
      <w:pPr>
        <w:pStyle w:val="BodyTextIndent"/>
        <w:ind w:left="0"/>
        <w:rPr>
          <w:szCs w:val="24"/>
        </w:rPr>
      </w:pPr>
    </w:p>
    <w:p w14:paraId="41E3373C" w14:textId="53CA4BA5" w:rsidR="0025794F" w:rsidRDefault="0025794F" w:rsidP="0025794F">
      <w:pPr>
        <w:pStyle w:val="BodyTextIndent"/>
        <w:ind w:left="1440"/>
        <w:rPr>
          <w:szCs w:val="24"/>
        </w:rPr>
      </w:pPr>
      <w:r w:rsidRPr="00B11AB7">
        <w:rPr>
          <w:szCs w:val="24"/>
        </w:rPr>
        <w:t xml:space="preserve">Jacobson, </w:t>
      </w:r>
      <w:r w:rsidR="008F1F9C" w:rsidRPr="00B11AB7">
        <w:rPr>
          <w:i/>
          <w:szCs w:val="24"/>
        </w:rPr>
        <w:t xml:space="preserve">Barbarian Virtues, </w:t>
      </w:r>
      <w:r w:rsidR="008F1F9C" w:rsidRPr="00B11AB7">
        <w:rPr>
          <w:szCs w:val="24"/>
        </w:rPr>
        <w:t>In</w:t>
      </w:r>
      <w:r w:rsidRPr="00B11AB7">
        <w:rPr>
          <w:szCs w:val="24"/>
        </w:rPr>
        <w:t xml:space="preserve">troduction (pp. 3-9), Chs. 5, 6,  &amp; Conclusion (173-265).  </w:t>
      </w:r>
    </w:p>
    <w:p w14:paraId="4C507256" w14:textId="77777777" w:rsidR="007F49CF" w:rsidRDefault="007F49CF" w:rsidP="0025794F">
      <w:pPr>
        <w:pStyle w:val="BodyTextIndent"/>
        <w:ind w:left="1440"/>
        <w:rPr>
          <w:szCs w:val="24"/>
        </w:rPr>
      </w:pPr>
    </w:p>
    <w:p w14:paraId="4E377D0D" w14:textId="43D077A2" w:rsidR="00410CDB" w:rsidRPr="00CE298E" w:rsidRDefault="00CE298E" w:rsidP="00CE298E">
      <w:pPr>
        <w:pStyle w:val="BodyTextIndent"/>
        <w:tabs>
          <w:tab w:val="left" w:pos="3376"/>
        </w:tabs>
        <w:ind w:left="1440"/>
        <w:rPr>
          <w:szCs w:val="24"/>
        </w:rPr>
      </w:pPr>
      <w:r w:rsidRPr="00CE298E">
        <w:rPr>
          <w:szCs w:val="24"/>
        </w:rPr>
        <w:t xml:space="preserve">J. </w:t>
      </w:r>
      <w:r w:rsidR="007F49CF" w:rsidRPr="00CE298E">
        <w:rPr>
          <w:szCs w:val="24"/>
        </w:rPr>
        <w:t>T</w:t>
      </w:r>
      <w:r w:rsidR="00CB2575" w:rsidRPr="00CE298E">
        <w:rPr>
          <w:szCs w:val="24"/>
        </w:rPr>
        <w:t xml:space="preserve">erry </w:t>
      </w:r>
      <w:r w:rsidRPr="00CE298E">
        <w:rPr>
          <w:szCs w:val="24"/>
        </w:rPr>
        <w:t xml:space="preserve">Todd, </w:t>
      </w:r>
      <w:r>
        <w:rPr>
          <w:szCs w:val="24"/>
        </w:rPr>
        <w:t xml:space="preserve">“The Temple of Religion and the Politics of Religious Pluralism: Judeo-Christian America at the 1939-1940 New York World’s Fair,” in Courtney Bender &amp; Pamela E. Klassen (eds) </w:t>
      </w:r>
      <w:r w:rsidRPr="00CE298E">
        <w:rPr>
          <w:i/>
          <w:szCs w:val="24"/>
        </w:rPr>
        <w:t>After Pluralism: Reimagining Religious Engagement</w:t>
      </w:r>
      <w:r>
        <w:rPr>
          <w:szCs w:val="24"/>
        </w:rPr>
        <w:t xml:space="preserve"> (New York: Columbia University Press, 2010), pp. 201-222.</w:t>
      </w:r>
    </w:p>
    <w:p w14:paraId="1F194DFD" w14:textId="77777777" w:rsidR="00CE298E" w:rsidRPr="00B11AB7" w:rsidRDefault="00CE298E" w:rsidP="00CE298E">
      <w:pPr>
        <w:pStyle w:val="BodyTextIndent"/>
        <w:ind w:left="1440"/>
        <w:rPr>
          <w:szCs w:val="24"/>
          <w:u w:val="single"/>
        </w:rPr>
      </w:pPr>
    </w:p>
    <w:p w14:paraId="7C231FE5" w14:textId="79E593F1" w:rsidR="0025794F" w:rsidRPr="00B11AB7" w:rsidRDefault="00D02BD8" w:rsidP="0025794F">
      <w:pPr>
        <w:pStyle w:val="BodyTextIndent"/>
        <w:ind w:left="0"/>
        <w:rPr>
          <w:b/>
          <w:szCs w:val="24"/>
        </w:rPr>
      </w:pPr>
      <w:r w:rsidRPr="00B11AB7">
        <w:rPr>
          <w:szCs w:val="24"/>
          <w:u w:val="single"/>
        </w:rPr>
        <w:t>Jan. 11</w:t>
      </w:r>
      <w:r w:rsidRPr="00B11AB7">
        <w:rPr>
          <w:szCs w:val="24"/>
        </w:rPr>
        <w:t>:</w:t>
      </w:r>
      <w:r w:rsidR="00410CDB" w:rsidRPr="00B11AB7">
        <w:rPr>
          <w:szCs w:val="24"/>
        </w:rPr>
        <w:t xml:space="preserve"> </w:t>
      </w:r>
      <w:r w:rsidR="00661572" w:rsidRPr="00B11AB7">
        <w:rPr>
          <w:szCs w:val="24"/>
        </w:rPr>
        <w:tab/>
      </w:r>
      <w:r w:rsidR="0025794F" w:rsidRPr="00B11AB7">
        <w:rPr>
          <w:szCs w:val="24"/>
        </w:rPr>
        <w:t>New takes on the old Cold War</w:t>
      </w:r>
    </w:p>
    <w:p w14:paraId="6A8B8CE6" w14:textId="77777777" w:rsidR="0025794F" w:rsidRPr="00B11AB7" w:rsidRDefault="0025794F" w:rsidP="0025794F">
      <w:pPr>
        <w:pStyle w:val="BodyTextIndent"/>
        <w:ind w:left="1440" w:hanging="1440"/>
        <w:rPr>
          <w:szCs w:val="24"/>
        </w:rPr>
      </w:pPr>
    </w:p>
    <w:p w14:paraId="5A6EB1E4" w14:textId="26D723FB" w:rsidR="00410CDB" w:rsidRPr="00B11AB7" w:rsidRDefault="0025794F" w:rsidP="0025794F">
      <w:pPr>
        <w:pStyle w:val="BodyTextIndent"/>
        <w:ind w:left="1440" w:hanging="1440"/>
        <w:rPr>
          <w:szCs w:val="24"/>
        </w:rPr>
      </w:pPr>
      <w:r w:rsidRPr="00B11AB7">
        <w:rPr>
          <w:szCs w:val="24"/>
        </w:rPr>
        <w:tab/>
        <w:t xml:space="preserve">Herzog, </w:t>
      </w:r>
      <w:r w:rsidRPr="00B11AB7">
        <w:rPr>
          <w:i/>
          <w:szCs w:val="24"/>
        </w:rPr>
        <w:t>The Spiritual-Industrial Complex</w:t>
      </w:r>
      <w:r w:rsidRPr="00B11AB7">
        <w:rPr>
          <w:szCs w:val="24"/>
        </w:rPr>
        <w:t>, pp. 3-134.</w:t>
      </w:r>
    </w:p>
    <w:p w14:paraId="6C2AB1F6" w14:textId="12C4DA34" w:rsidR="00D02BD8" w:rsidRPr="00B11AB7" w:rsidRDefault="00410CDB" w:rsidP="00994210">
      <w:pPr>
        <w:rPr>
          <w:sz w:val="24"/>
          <w:szCs w:val="24"/>
        </w:rPr>
      </w:pPr>
      <w:r w:rsidRPr="00B11AB7">
        <w:rPr>
          <w:i/>
          <w:sz w:val="24"/>
          <w:szCs w:val="24"/>
        </w:rPr>
        <w:t xml:space="preserve"> </w:t>
      </w:r>
    </w:p>
    <w:p w14:paraId="5715C481" w14:textId="77777777" w:rsidR="0025794F" w:rsidRPr="00B11AB7" w:rsidRDefault="00D02BD8" w:rsidP="0025794F">
      <w:pPr>
        <w:rPr>
          <w:sz w:val="24"/>
          <w:szCs w:val="24"/>
        </w:rPr>
      </w:pPr>
      <w:r w:rsidRPr="00B11AB7">
        <w:rPr>
          <w:sz w:val="24"/>
          <w:szCs w:val="24"/>
          <w:u w:val="single"/>
        </w:rPr>
        <w:t>Jan. 18</w:t>
      </w:r>
      <w:r w:rsidR="00994210" w:rsidRPr="00B11AB7">
        <w:rPr>
          <w:sz w:val="24"/>
          <w:szCs w:val="24"/>
        </w:rPr>
        <w:t xml:space="preserve">: </w:t>
      </w:r>
      <w:r w:rsidR="00994210" w:rsidRPr="00B11AB7">
        <w:rPr>
          <w:sz w:val="24"/>
          <w:szCs w:val="24"/>
        </w:rPr>
        <w:tab/>
      </w:r>
      <w:r w:rsidR="0025794F" w:rsidRPr="00B11AB7">
        <w:rPr>
          <w:sz w:val="24"/>
          <w:szCs w:val="24"/>
        </w:rPr>
        <w:t>The spiritual-industrial complex II</w:t>
      </w:r>
    </w:p>
    <w:p w14:paraId="79207C79" w14:textId="77777777" w:rsidR="0025794F" w:rsidRPr="00B11AB7" w:rsidRDefault="0025794F" w:rsidP="0025794F">
      <w:pPr>
        <w:rPr>
          <w:sz w:val="24"/>
          <w:szCs w:val="24"/>
        </w:rPr>
      </w:pPr>
    </w:p>
    <w:p w14:paraId="6E543892" w14:textId="77777777" w:rsidR="0025794F" w:rsidRPr="00B11AB7" w:rsidRDefault="0025794F" w:rsidP="0025794F">
      <w:pPr>
        <w:rPr>
          <w:sz w:val="24"/>
          <w:szCs w:val="24"/>
        </w:rPr>
      </w:pPr>
      <w:r w:rsidRPr="00B11AB7">
        <w:rPr>
          <w:sz w:val="24"/>
          <w:szCs w:val="24"/>
        </w:rPr>
        <w:tab/>
      </w:r>
      <w:r w:rsidRPr="00B11AB7">
        <w:rPr>
          <w:sz w:val="24"/>
          <w:szCs w:val="24"/>
        </w:rPr>
        <w:tab/>
        <w:t xml:space="preserve">Herzog, </w:t>
      </w:r>
      <w:r w:rsidRPr="00B11AB7">
        <w:rPr>
          <w:i/>
          <w:sz w:val="24"/>
          <w:szCs w:val="24"/>
        </w:rPr>
        <w:t>The Spiritual-Industrial Complex</w:t>
      </w:r>
      <w:r w:rsidRPr="00B11AB7">
        <w:rPr>
          <w:sz w:val="24"/>
          <w:szCs w:val="24"/>
        </w:rPr>
        <w:t>, 135-216.</w:t>
      </w:r>
    </w:p>
    <w:p w14:paraId="31C0D11D" w14:textId="77777777" w:rsidR="00D34679" w:rsidRPr="00B11AB7" w:rsidRDefault="00D34679" w:rsidP="001E3D36">
      <w:pPr>
        <w:widowControl w:val="0"/>
        <w:autoSpaceDE w:val="0"/>
        <w:autoSpaceDN w:val="0"/>
        <w:adjustRightInd w:val="0"/>
        <w:rPr>
          <w:color w:val="231F20"/>
          <w:sz w:val="24"/>
          <w:szCs w:val="24"/>
        </w:rPr>
      </w:pPr>
    </w:p>
    <w:p w14:paraId="422438AE" w14:textId="77777777" w:rsidR="008F1F9C" w:rsidRPr="00B11AB7" w:rsidRDefault="008F1F9C" w:rsidP="00D34679">
      <w:pPr>
        <w:widowControl w:val="0"/>
        <w:autoSpaceDE w:val="0"/>
        <w:autoSpaceDN w:val="0"/>
        <w:adjustRightInd w:val="0"/>
        <w:ind w:left="1440"/>
        <w:rPr>
          <w:color w:val="231F20"/>
          <w:sz w:val="24"/>
          <w:szCs w:val="24"/>
        </w:rPr>
      </w:pPr>
    </w:p>
    <w:p w14:paraId="015C75F7" w14:textId="690256A9" w:rsidR="00081DFB" w:rsidRDefault="008F1F9C" w:rsidP="00081DFB">
      <w:pPr>
        <w:rPr>
          <w:b/>
          <w:sz w:val="28"/>
          <w:szCs w:val="28"/>
        </w:rPr>
      </w:pPr>
      <w:r w:rsidRPr="00DD68FC">
        <w:rPr>
          <w:b/>
          <w:sz w:val="28"/>
          <w:szCs w:val="28"/>
        </w:rPr>
        <w:t>II.</w:t>
      </w:r>
      <w:r w:rsidRPr="00DD68FC">
        <w:rPr>
          <w:b/>
          <w:sz w:val="28"/>
          <w:szCs w:val="28"/>
        </w:rPr>
        <w:tab/>
      </w:r>
      <w:r w:rsidR="001E3D36" w:rsidRPr="00DD68FC">
        <w:rPr>
          <w:b/>
          <w:sz w:val="28"/>
          <w:szCs w:val="28"/>
        </w:rPr>
        <w:t>C</w:t>
      </w:r>
      <w:r w:rsidRPr="00DD68FC">
        <w:rPr>
          <w:b/>
          <w:sz w:val="28"/>
          <w:szCs w:val="28"/>
        </w:rPr>
        <w:t>ritical debates in contemporary U</w:t>
      </w:r>
      <w:r w:rsidR="00E23C67" w:rsidRPr="00DD68FC">
        <w:rPr>
          <w:b/>
          <w:sz w:val="28"/>
          <w:szCs w:val="28"/>
        </w:rPr>
        <w:t>.</w:t>
      </w:r>
      <w:r w:rsidRPr="00DD68FC">
        <w:rPr>
          <w:b/>
          <w:sz w:val="28"/>
          <w:szCs w:val="28"/>
        </w:rPr>
        <w:t>S</w:t>
      </w:r>
      <w:r w:rsidR="00E23C67" w:rsidRPr="00DD68FC">
        <w:rPr>
          <w:b/>
          <w:sz w:val="28"/>
          <w:szCs w:val="28"/>
        </w:rPr>
        <w:t>.</w:t>
      </w:r>
      <w:r w:rsidRPr="00DD68FC">
        <w:rPr>
          <w:b/>
          <w:sz w:val="28"/>
          <w:szCs w:val="28"/>
        </w:rPr>
        <w:t xml:space="preserve"> foreign affairs</w:t>
      </w:r>
    </w:p>
    <w:p w14:paraId="5E112B2C" w14:textId="77777777" w:rsidR="00A97249" w:rsidRPr="00DD68FC" w:rsidRDefault="00A97249" w:rsidP="00081DFB">
      <w:pPr>
        <w:rPr>
          <w:b/>
          <w:sz w:val="28"/>
          <w:szCs w:val="28"/>
        </w:rPr>
      </w:pPr>
    </w:p>
    <w:p w14:paraId="578FC923" w14:textId="77777777" w:rsidR="008F1F9C" w:rsidRPr="00B11AB7" w:rsidRDefault="008F1F9C" w:rsidP="00994210">
      <w:pPr>
        <w:pStyle w:val="BodyText"/>
        <w:rPr>
          <w:szCs w:val="24"/>
        </w:rPr>
      </w:pPr>
    </w:p>
    <w:p w14:paraId="5894EB88" w14:textId="18C199B5" w:rsidR="00081DFB" w:rsidRPr="00B11AB7" w:rsidRDefault="00D02BD8" w:rsidP="00081DFB">
      <w:pPr>
        <w:rPr>
          <w:sz w:val="24"/>
          <w:szCs w:val="24"/>
        </w:rPr>
      </w:pPr>
      <w:r w:rsidRPr="00B11AB7">
        <w:rPr>
          <w:sz w:val="24"/>
          <w:szCs w:val="24"/>
          <w:u w:val="single"/>
        </w:rPr>
        <w:t>Jan. 23</w:t>
      </w:r>
      <w:r w:rsidR="00994210" w:rsidRPr="00B11AB7">
        <w:rPr>
          <w:sz w:val="24"/>
          <w:szCs w:val="24"/>
        </w:rPr>
        <w:t xml:space="preserve">:  </w:t>
      </w:r>
      <w:r w:rsidR="00994210" w:rsidRPr="00B11AB7">
        <w:rPr>
          <w:sz w:val="24"/>
          <w:szCs w:val="24"/>
        </w:rPr>
        <w:tab/>
      </w:r>
      <w:r w:rsidR="00081DFB" w:rsidRPr="00B11AB7">
        <w:rPr>
          <w:sz w:val="24"/>
          <w:szCs w:val="24"/>
        </w:rPr>
        <w:t>American exceptionalism and the politics of rights</w:t>
      </w:r>
    </w:p>
    <w:p w14:paraId="641CB3CB" w14:textId="77777777" w:rsidR="00081DFB" w:rsidRPr="00B11AB7" w:rsidRDefault="00081DFB" w:rsidP="00081DFB">
      <w:pPr>
        <w:rPr>
          <w:sz w:val="24"/>
          <w:szCs w:val="24"/>
        </w:rPr>
      </w:pPr>
      <w:r w:rsidRPr="00B11AB7">
        <w:rPr>
          <w:sz w:val="24"/>
          <w:szCs w:val="24"/>
        </w:rPr>
        <w:t xml:space="preserve"> </w:t>
      </w:r>
    </w:p>
    <w:p w14:paraId="1B306AAF" w14:textId="56326515" w:rsidR="00081DFB" w:rsidRPr="00B11AB7" w:rsidRDefault="00081DFB" w:rsidP="001E3D36">
      <w:pPr>
        <w:ind w:left="1440"/>
        <w:rPr>
          <w:sz w:val="24"/>
          <w:szCs w:val="24"/>
        </w:rPr>
      </w:pPr>
      <w:r w:rsidRPr="00B11AB7">
        <w:rPr>
          <w:sz w:val="24"/>
          <w:szCs w:val="24"/>
        </w:rPr>
        <w:t xml:space="preserve">Michael Ignatieff, “Introduction: American Exceptionalism and Human Rights,” in </w:t>
      </w:r>
      <w:r w:rsidRPr="00B11AB7">
        <w:rPr>
          <w:i/>
          <w:sz w:val="24"/>
          <w:szCs w:val="24"/>
        </w:rPr>
        <w:t>American Exceptionalism and Human Rights</w:t>
      </w:r>
      <w:r w:rsidRPr="00B11AB7">
        <w:rPr>
          <w:sz w:val="24"/>
          <w:szCs w:val="24"/>
        </w:rPr>
        <w:t>, Ignatieff, ed., Princeton: Princeton University Press, 2005, pp. 1-26.</w:t>
      </w:r>
    </w:p>
    <w:p w14:paraId="6DFC2801" w14:textId="77777777" w:rsidR="00081DFB" w:rsidRDefault="00081DFB" w:rsidP="00081DFB">
      <w:pPr>
        <w:widowControl w:val="0"/>
        <w:autoSpaceDE w:val="0"/>
        <w:autoSpaceDN w:val="0"/>
        <w:adjustRightInd w:val="0"/>
        <w:ind w:left="1440"/>
        <w:rPr>
          <w:color w:val="231F20"/>
          <w:sz w:val="24"/>
          <w:szCs w:val="24"/>
        </w:rPr>
      </w:pPr>
    </w:p>
    <w:p w14:paraId="3148077B" w14:textId="4D158035" w:rsidR="009E49C6" w:rsidRDefault="007812C6" w:rsidP="00081DFB">
      <w:pPr>
        <w:widowControl w:val="0"/>
        <w:autoSpaceDE w:val="0"/>
        <w:autoSpaceDN w:val="0"/>
        <w:adjustRightInd w:val="0"/>
        <w:ind w:left="1440"/>
        <w:rPr>
          <w:color w:val="231F20"/>
          <w:sz w:val="24"/>
          <w:szCs w:val="24"/>
        </w:rPr>
      </w:pPr>
      <w:r>
        <w:rPr>
          <w:color w:val="231F20"/>
          <w:sz w:val="24"/>
          <w:szCs w:val="24"/>
        </w:rPr>
        <w:t xml:space="preserve">John Gerard </w:t>
      </w:r>
      <w:r w:rsidR="009E49C6">
        <w:rPr>
          <w:color w:val="231F20"/>
          <w:sz w:val="24"/>
          <w:szCs w:val="24"/>
        </w:rPr>
        <w:t>Ruggie</w:t>
      </w:r>
      <w:r>
        <w:rPr>
          <w:color w:val="231F20"/>
          <w:sz w:val="24"/>
          <w:szCs w:val="24"/>
        </w:rPr>
        <w:t xml:space="preserve">, “American Exceptionalism, Exemptionalism, and Global Governance,” in </w:t>
      </w:r>
      <w:r w:rsidRPr="007812C6">
        <w:rPr>
          <w:i/>
          <w:color w:val="231F20"/>
          <w:sz w:val="24"/>
          <w:szCs w:val="24"/>
        </w:rPr>
        <w:t>American Exceptionalism and Human Rights</w:t>
      </w:r>
      <w:r>
        <w:rPr>
          <w:color w:val="231F20"/>
          <w:sz w:val="24"/>
          <w:szCs w:val="24"/>
        </w:rPr>
        <w:t>, pp. 304-338.</w:t>
      </w:r>
    </w:p>
    <w:p w14:paraId="3FC2DA93" w14:textId="77777777" w:rsidR="009E49C6" w:rsidRPr="00B11AB7" w:rsidRDefault="009E49C6" w:rsidP="009E49C6">
      <w:pPr>
        <w:widowControl w:val="0"/>
        <w:autoSpaceDE w:val="0"/>
        <w:autoSpaceDN w:val="0"/>
        <w:adjustRightInd w:val="0"/>
        <w:rPr>
          <w:color w:val="231F20"/>
          <w:sz w:val="24"/>
          <w:szCs w:val="24"/>
        </w:rPr>
      </w:pPr>
    </w:p>
    <w:p w14:paraId="39CB0950" w14:textId="54F948BA" w:rsidR="00994210" w:rsidRPr="00B11AB7" w:rsidRDefault="007812C6" w:rsidP="001E3D36">
      <w:pPr>
        <w:widowControl w:val="0"/>
        <w:autoSpaceDE w:val="0"/>
        <w:autoSpaceDN w:val="0"/>
        <w:adjustRightInd w:val="0"/>
        <w:ind w:left="1440"/>
        <w:rPr>
          <w:color w:val="231F20"/>
          <w:sz w:val="24"/>
          <w:szCs w:val="24"/>
        </w:rPr>
      </w:pPr>
      <w:r>
        <w:rPr>
          <w:color w:val="231F20"/>
          <w:sz w:val="24"/>
          <w:szCs w:val="24"/>
        </w:rPr>
        <w:t>Lila Abu-Lughod,</w:t>
      </w:r>
      <w:r w:rsidR="00081DFB" w:rsidRPr="00B11AB7">
        <w:rPr>
          <w:color w:val="231F20"/>
          <w:sz w:val="24"/>
          <w:szCs w:val="24"/>
        </w:rPr>
        <w:t xml:space="preserve"> “Anthropology in the Territory of Rights, Islamic, Human, and Otherwise . . .” </w:t>
      </w:r>
      <w:r w:rsidR="00081DFB" w:rsidRPr="00B11AB7">
        <w:rPr>
          <w:i/>
          <w:color w:val="231F20"/>
          <w:sz w:val="24"/>
          <w:szCs w:val="24"/>
        </w:rPr>
        <w:t>Proceedings of the British Academy</w:t>
      </w:r>
      <w:r>
        <w:rPr>
          <w:color w:val="231F20"/>
          <w:sz w:val="24"/>
          <w:szCs w:val="24"/>
        </w:rPr>
        <w:t xml:space="preserve"> 167 (2010), pp. </w:t>
      </w:r>
      <w:r w:rsidR="00081DFB" w:rsidRPr="00B11AB7">
        <w:rPr>
          <w:color w:val="231F20"/>
          <w:sz w:val="24"/>
          <w:szCs w:val="24"/>
        </w:rPr>
        <w:t>225–262.</w:t>
      </w:r>
    </w:p>
    <w:p w14:paraId="05800872" w14:textId="5B385E8B" w:rsidR="00994210" w:rsidRPr="00B11AB7" w:rsidRDefault="00994210" w:rsidP="00575D29">
      <w:pPr>
        <w:ind w:left="1440" w:hanging="1440"/>
        <w:rPr>
          <w:sz w:val="24"/>
          <w:szCs w:val="24"/>
        </w:rPr>
      </w:pPr>
      <w:r w:rsidRPr="00B11AB7">
        <w:rPr>
          <w:sz w:val="24"/>
          <w:szCs w:val="24"/>
        </w:rPr>
        <w:tab/>
      </w:r>
      <w:r w:rsidRPr="00B11AB7">
        <w:rPr>
          <w:sz w:val="24"/>
          <w:szCs w:val="24"/>
        </w:rPr>
        <w:tab/>
      </w:r>
    </w:p>
    <w:p w14:paraId="55238803" w14:textId="29999A93" w:rsidR="00081DFB" w:rsidRPr="00B11AB7" w:rsidRDefault="00D02BD8" w:rsidP="00081DFB">
      <w:pPr>
        <w:pStyle w:val="BodyText"/>
        <w:rPr>
          <w:szCs w:val="24"/>
        </w:rPr>
      </w:pPr>
      <w:r w:rsidRPr="00B11AB7">
        <w:rPr>
          <w:szCs w:val="24"/>
          <w:u w:val="single"/>
        </w:rPr>
        <w:t>Jan. 25</w:t>
      </w:r>
      <w:r w:rsidR="00994210" w:rsidRPr="00B11AB7">
        <w:rPr>
          <w:szCs w:val="24"/>
        </w:rPr>
        <w:t xml:space="preserve">: </w:t>
      </w:r>
      <w:r w:rsidR="00994210" w:rsidRPr="00B11AB7">
        <w:rPr>
          <w:szCs w:val="24"/>
        </w:rPr>
        <w:tab/>
      </w:r>
      <w:r w:rsidR="00A572B3">
        <w:rPr>
          <w:szCs w:val="24"/>
        </w:rPr>
        <w:t>Politics of religious freedom</w:t>
      </w:r>
    </w:p>
    <w:p w14:paraId="4F25BC1F" w14:textId="77777777" w:rsidR="00081DFB" w:rsidRPr="004F1652" w:rsidRDefault="00081DFB" w:rsidP="00081DFB">
      <w:pPr>
        <w:pStyle w:val="BodyText"/>
        <w:rPr>
          <w:szCs w:val="24"/>
        </w:rPr>
      </w:pPr>
    </w:p>
    <w:p w14:paraId="03F5964A" w14:textId="71E7CF02" w:rsidR="004F1652" w:rsidRDefault="004F1652" w:rsidP="004F1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sz w:val="24"/>
          <w:szCs w:val="24"/>
        </w:rPr>
      </w:pPr>
      <w:r w:rsidRPr="004F1652">
        <w:rPr>
          <w:sz w:val="24"/>
          <w:szCs w:val="24"/>
        </w:rPr>
        <w:t xml:space="preserve">R. Laurence Moore, “Common Principles, Different Histories: Understanding Religious Liberty in the United States and France,” </w:t>
      </w:r>
      <w:r w:rsidRPr="004F1652">
        <w:rPr>
          <w:i/>
          <w:sz w:val="24"/>
          <w:szCs w:val="24"/>
        </w:rPr>
        <w:t>Modern Intellectual History</w:t>
      </w:r>
      <w:r w:rsidRPr="004F1652">
        <w:rPr>
          <w:sz w:val="24"/>
          <w:szCs w:val="24"/>
        </w:rPr>
        <w:t xml:space="preserve"> 7, no. 2 (2010): 459-478.</w:t>
      </w:r>
    </w:p>
    <w:p w14:paraId="7F9345BC" w14:textId="77777777" w:rsidR="004F1652" w:rsidRDefault="004F1652" w:rsidP="004F1652">
      <w:pPr>
        <w:ind w:left="1440"/>
        <w:rPr>
          <w:sz w:val="24"/>
          <w:szCs w:val="24"/>
        </w:rPr>
      </w:pPr>
    </w:p>
    <w:p w14:paraId="7D757DD9" w14:textId="64FD6E2B" w:rsidR="004F1652" w:rsidRPr="004F1652" w:rsidRDefault="004F1652" w:rsidP="004F1652">
      <w:pPr>
        <w:ind w:left="1440"/>
        <w:rPr>
          <w:sz w:val="24"/>
          <w:szCs w:val="24"/>
        </w:rPr>
      </w:pPr>
      <w:r w:rsidRPr="004F1652">
        <w:rPr>
          <w:sz w:val="24"/>
          <w:szCs w:val="24"/>
        </w:rPr>
        <w:t xml:space="preserve">Malcolm D. Evans, “Advancing Freedom of Religion or Belief: Agendas for Change.” Lambeth Inter Faith Lecture (Lambeth Palace, June 8, 2011). </w:t>
      </w:r>
      <w:hyperlink r:id="rId10" w:history="1">
        <w:r w:rsidRPr="004F1652">
          <w:rPr>
            <w:rStyle w:val="Hyperlink"/>
            <w:sz w:val="24"/>
            <w:szCs w:val="24"/>
          </w:rPr>
          <w:t>http://www.archbishopofcanterbury.org/articles.php/2062/archbishop-hosts-annual-lambeth-inter-faith-lecture</w:t>
        </w:r>
      </w:hyperlink>
    </w:p>
    <w:p w14:paraId="053B8176" w14:textId="2D529B7B" w:rsidR="00994210" w:rsidRPr="00B11AB7" w:rsidRDefault="00994210" w:rsidP="00081DFB">
      <w:pPr>
        <w:pStyle w:val="BodyText"/>
        <w:rPr>
          <w:szCs w:val="24"/>
          <w:u w:val="single"/>
        </w:rPr>
      </w:pPr>
    </w:p>
    <w:p w14:paraId="748297EA" w14:textId="451DBF44" w:rsidR="00994210" w:rsidRPr="00B11AB7" w:rsidRDefault="00D02BD8" w:rsidP="00D12DDD">
      <w:pPr>
        <w:ind w:left="1440" w:hanging="1440"/>
        <w:rPr>
          <w:sz w:val="24"/>
          <w:szCs w:val="24"/>
        </w:rPr>
      </w:pPr>
      <w:r w:rsidRPr="00B11AB7">
        <w:rPr>
          <w:sz w:val="24"/>
          <w:szCs w:val="24"/>
          <w:u w:val="single"/>
        </w:rPr>
        <w:t>Jan. 30</w:t>
      </w:r>
      <w:r w:rsidR="00994210" w:rsidRPr="00B11AB7">
        <w:rPr>
          <w:sz w:val="24"/>
          <w:szCs w:val="24"/>
        </w:rPr>
        <w:t>:</w:t>
      </w:r>
      <w:r w:rsidR="00994210" w:rsidRPr="00B11AB7">
        <w:rPr>
          <w:sz w:val="24"/>
          <w:szCs w:val="24"/>
        </w:rPr>
        <w:tab/>
      </w:r>
      <w:r w:rsidR="00A572B3">
        <w:rPr>
          <w:sz w:val="24"/>
          <w:szCs w:val="24"/>
        </w:rPr>
        <w:t>Politics of d</w:t>
      </w:r>
      <w:r w:rsidR="00D12DDD" w:rsidRPr="00B11AB7">
        <w:rPr>
          <w:sz w:val="24"/>
          <w:szCs w:val="24"/>
        </w:rPr>
        <w:t xml:space="preserve">evelopment </w:t>
      </w:r>
    </w:p>
    <w:p w14:paraId="68FCF6B9" w14:textId="77777777" w:rsidR="00081DFB" w:rsidRPr="00B11AB7" w:rsidRDefault="00081DFB" w:rsidP="00D12DDD">
      <w:pPr>
        <w:ind w:left="1440" w:hanging="1440"/>
        <w:rPr>
          <w:sz w:val="24"/>
          <w:szCs w:val="24"/>
        </w:rPr>
      </w:pPr>
    </w:p>
    <w:p w14:paraId="298284E1" w14:textId="5B19F294" w:rsidR="00081DFB" w:rsidRDefault="00081DFB" w:rsidP="00A572B3">
      <w:pPr>
        <w:ind w:left="1440" w:hanging="1440"/>
        <w:rPr>
          <w:sz w:val="24"/>
          <w:szCs w:val="24"/>
        </w:rPr>
      </w:pPr>
      <w:r w:rsidRPr="00B11AB7">
        <w:rPr>
          <w:sz w:val="24"/>
          <w:szCs w:val="24"/>
        </w:rPr>
        <w:tab/>
      </w:r>
      <w:r w:rsidR="00A572B3">
        <w:rPr>
          <w:sz w:val="24"/>
          <w:szCs w:val="24"/>
        </w:rPr>
        <w:t xml:space="preserve">Escobar, </w:t>
      </w:r>
      <w:r w:rsidR="00A572B3" w:rsidRPr="00A572B3">
        <w:rPr>
          <w:i/>
          <w:sz w:val="24"/>
          <w:szCs w:val="24"/>
        </w:rPr>
        <w:t>Encountering Development</w:t>
      </w:r>
      <w:r w:rsidR="00A572B3">
        <w:rPr>
          <w:sz w:val="24"/>
          <w:szCs w:val="24"/>
        </w:rPr>
        <w:t>, C</w:t>
      </w:r>
      <w:r w:rsidRPr="00B11AB7">
        <w:rPr>
          <w:sz w:val="24"/>
          <w:szCs w:val="24"/>
        </w:rPr>
        <w:t>h</w:t>
      </w:r>
      <w:r w:rsidR="00A572B3">
        <w:rPr>
          <w:sz w:val="24"/>
          <w:szCs w:val="24"/>
        </w:rPr>
        <w:t>s</w:t>
      </w:r>
      <w:r w:rsidRPr="00B11AB7">
        <w:rPr>
          <w:sz w:val="24"/>
          <w:szCs w:val="24"/>
        </w:rPr>
        <w:t>. 1</w:t>
      </w:r>
      <w:r w:rsidR="00A572B3">
        <w:rPr>
          <w:sz w:val="24"/>
          <w:szCs w:val="24"/>
        </w:rPr>
        <w:t xml:space="preserve"> (</w:t>
      </w:r>
      <w:r w:rsidR="003559AC">
        <w:rPr>
          <w:sz w:val="24"/>
          <w:szCs w:val="24"/>
        </w:rPr>
        <w:t xml:space="preserve">pp. </w:t>
      </w:r>
      <w:r w:rsidR="00A572B3">
        <w:rPr>
          <w:sz w:val="24"/>
          <w:szCs w:val="24"/>
        </w:rPr>
        <w:t>3-20)</w:t>
      </w:r>
      <w:r w:rsidRPr="00B11AB7">
        <w:rPr>
          <w:sz w:val="24"/>
          <w:szCs w:val="24"/>
        </w:rPr>
        <w:t>, 2</w:t>
      </w:r>
      <w:r w:rsidR="00A572B3">
        <w:rPr>
          <w:sz w:val="24"/>
          <w:szCs w:val="24"/>
        </w:rPr>
        <w:t xml:space="preserve"> (</w:t>
      </w:r>
      <w:r w:rsidR="003559AC">
        <w:rPr>
          <w:sz w:val="24"/>
          <w:szCs w:val="24"/>
        </w:rPr>
        <w:t xml:space="preserve">pp. </w:t>
      </w:r>
      <w:r w:rsidR="00A572B3">
        <w:rPr>
          <w:sz w:val="24"/>
          <w:szCs w:val="24"/>
        </w:rPr>
        <w:t>21-54)</w:t>
      </w:r>
      <w:r w:rsidRPr="00B11AB7">
        <w:rPr>
          <w:sz w:val="24"/>
          <w:szCs w:val="24"/>
        </w:rPr>
        <w:t xml:space="preserve"> &amp; 6</w:t>
      </w:r>
      <w:r w:rsidR="00A572B3">
        <w:rPr>
          <w:sz w:val="24"/>
          <w:szCs w:val="24"/>
        </w:rPr>
        <w:t xml:space="preserve"> (</w:t>
      </w:r>
      <w:r w:rsidR="003559AC">
        <w:rPr>
          <w:sz w:val="24"/>
          <w:szCs w:val="24"/>
        </w:rPr>
        <w:t xml:space="preserve">pp. </w:t>
      </w:r>
      <w:r w:rsidR="00A572B3">
        <w:rPr>
          <w:sz w:val="24"/>
          <w:szCs w:val="24"/>
        </w:rPr>
        <w:t>212-226).</w:t>
      </w:r>
    </w:p>
    <w:p w14:paraId="310DB293" w14:textId="77777777" w:rsidR="00B66CA8" w:rsidRDefault="00B66CA8" w:rsidP="00A572B3">
      <w:pPr>
        <w:ind w:left="1440" w:hanging="1440"/>
        <w:rPr>
          <w:sz w:val="24"/>
          <w:szCs w:val="24"/>
        </w:rPr>
      </w:pPr>
    </w:p>
    <w:p w14:paraId="75887F8D" w14:textId="18F842DE" w:rsidR="00B66CA8" w:rsidRPr="00B11AB7" w:rsidRDefault="00B66CA8" w:rsidP="00A572B3">
      <w:pPr>
        <w:ind w:left="1440" w:hanging="1440"/>
        <w:rPr>
          <w:sz w:val="24"/>
          <w:szCs w:val="24"/>
        </w:rPr>
      </w:pPr>
      <w:r>
        <w:rPr>
          <w:sz w:val="24"/>
          <w:szCs w:val="24"/>
        </w:rPr>
        <w:tab/>
        <w:t xml:space="preserve">Timothy Mitchell, “America’s Egypt: Discourse of the Development Industry,” </w:t>
      </w:r>
      <w:r w:rsidRPr="00B66CA8">
        <w:rPr>
          <w:i/>
          <w:sz w:val="24"/>
          <w:szCs w:val="24"/>
        </w:rPr>
        <w:t>Middle East Report</w:t>
      </w:r>
      <w:r>
        <w:rPr>
          <w:sz w:val="24"/>
          <w:szCs w:val="24"/>
        </w:rPr>
        <w:t>, No. 169 (March-April 1991): 18-34, 36.</w:t>
      </w:r>
    </w:p>
    <w:p w14:paraId="6B36C896" w14:textId="77777777" w:rsidR="00D12DDD" w:rsidRPr="00B11AB7" w:rsidRDefault="00D12DDD" w:rsidP="00994210">
      <w:pPr>
        <w:rPr>
          <w:sz w:val="24"/>
          <w:szCs w:val="24"/>
        </w:rPr>
      </w:pPr>
    </w:p>
    <w:p w14:paraId="163B1730" w14:textId="12201A88" w:rsidR="00EF3BC2" w:rsidRDefault="00D02BD8" w:rsidP="00D12DDD">
      <w:pPr>
        <w:pStyle w:val="BodyText"/>
        <w:rPr>
          <w:szCs w:val="24"/>
        </w:rPr>
      </w:pPr>
      <w:r w:rsidRPr="00B11AB7">
        <w:rPr>
          <w:szCs w:val="24"/>
          <w:u w:val="single"/>
        </w:rPr>
        <w:t>Feb. 1</w:t>
      </w:r>
      <w:r w:rsidR="00994210" w:rsidRPr="00B11AB7">
        <w:rPr>
          <w:szCs w:val="24"/>
        </w:rPr>
        <w:t>:</w:t>
      </w:r>
      <w:r w:rsidR="00994210" w:rsidRPr="00B11AB7">
        <w:rPr>
          <w:szCs w:val="24"/>
        </w:rPr>
        <w:tab/>
        <w:t xml:space="preserve"> </w:t>
      </w:r>
      <w:r w:rsidR="00D34679" w:rsidRPr="00B11AB7">
        <w:rPr>
          <w:szCs w:val="24"/>
        </w:rPr>
        <w:tab/>
      </w:r>
      <w:r w:rsidR="007C7F2E">
        <w:rPr>
          <w:szCs w:val="24"/>
        </w:rPr>
        <w:t>Small group presentations of case studies of development agencies.</w:t>
      </w:r>
    </w:p>
    <w:p w14:paraId="03CC071B" w14:textId="001E57FE" w:rsidR="00D12DDD" w:rsidRPr="00823C15" w:rsidRDefault="00D12DDD" w:rsidP="00994210">
      <w:pPr>
        <w:pStyle w:val="BodyText"/>
        <w:rPr>
          <w:szCs w:val="24"/>
        </w:rPr>
      </w:pPr>
      <w:r w:rsidRPr="00B11AB7">
        <w:rPr>
          <w:szCs w:val="24"/>
        </w:rPr>
        <w:tab/>
      </w:r>
      <w:r w:rsidRPr="00B11AB7">
        <w:rPr>
          <w:szCs w:val="24"/>
        </w:rPr>
        <w:tab/>
      </w:r>
    </w:p>
    <w:p w14:paraId="5A85B5A8" w14:textId="758E60CA" w:rsidR="001E3D36" w:rsidRPr="00B11AB7" w:rsidRDefault="00D02BD8" w:rsidP="001E3D36">
      <w:pPr>
        <w:pStyle w:val="BodyText"/>
        <w:rPr>
          <w:szCs w:val="24"/>
        </w:rPr>
      </w:pPr>
      <w:r w:rsidRPr="00B11AB7">
        <w:rPr>
          <w:szCs w:val="24"/>
          <w:u w:val="single"/>
        </w:rPr>
        <w:t>Feb. 6</w:t>
      </w:r>
      <w:r w:rsidR="00994210" w:rsidRPr="00B11AB7">
        <w:rPr>
          <w:szCs w:val="24"/>
        </w:rPr>
        <w:t xml:space="preserve">: </w:t>
      </w:r>
      <w:r w:rsidR="00994210" w:rsidRPr="00B11AB7">
        <w:rPr>
          <w:szCs w:val="24"/>
        </w:rPr>
        <w:tab/>
      </w:r>
      <w:r w:rsidR="009E0B44">
        <w:rPr>
          <w:szCs w:val="24"/>
        </w:rPr>
        <w:t>The politics of the use of force: outsourcing war</w:t>
      </w:r>
      <w:r w:rsidR="0002737D">
        <w:rPr>
          <w:szCs w:val="24"/>
        </w:rPr>
        <w:t>, outsourcing sacrifice</w:t>
      </w:r>
    </w:p>
    <w:p w14:paraId="1126F863" w14:textId="77777777" w:rsidR="00952369" w:rsidRPr="00B11AB7" w:rsidRDefault="00952369" w:rsidP="00D92496">
      <w:pPr>
        <w:rPr>
          <w:sz w:val="24"/>
          <w:szCs w:val="24"/>
        </w:rPr>
      </w:pPr>
    </w:p>
    <w:p w14:paraId="70BD78FB" w14:textId="74A69890" w:rsidR="001E3D36" w:rsidRPr="007C7F2E" w:rsidRDefault="001E3D36" w:rsidP="001E3D36">
      <w:pPr>
        <w:ind w:left="1440"/>
        <w:rPr>
          <w:sz w:val="24"/>
          <w:szCs w:val="24"/>
        </w:rPr>
      </w:pPr>
      <w:r w:rsidRPr="007C7F2E">
        <w:rPr>
          <w:sz w:val="24"/>
          <w:szCs w:val="24"/>
        </w:rPr>
        <w:t xml:space="preserve">David Shearer, “Outsourcing War,” </w:t>
      </w:r>
      <w:r w:rsidRPr="007C7F2E">
        <w:rPr>
          <w:i/>
          <w:sz w:val="24"/>
          <w:szCs w:val="24"/>
        </w:rPr>
        <w:t>Foreign Policy</w:t>
      </w:r>
      <w:r w:rsidRPr="007C7F2E">
        <w:rPr>
          <w:sz w:val="24"/>
          <w:szCs w:val="24"/>
        </w:rPr>
        <w:t xml:space="preserve"> 112 (Autumn 1998): 68-81.</w:t>
      </w:r>
    </w:p>
    <w:p w14:paraId="2FD72D85" w14:textId="77777777" w:rsidR="001E3D36" w:rsidRPr="007C7F2E" w:rsidRDefault="001E3D36" w:rsidP="001E3D36">
      <w:pPr>
        <w:pStyle w:val="Heading1"/>
        <w:ind w:left="1440"/>
        <w:rPr>
          <w:szCs w:val="24"/>
        </w:rPr>
      </w:pPr>
    </w:p>
    <w:p w14:paraId="0DF56606" w14:textId="7AF68105" w:rsidR="001E3D36" w:rsidRPr="007C7F2E" w:rsidRDefault="001E3D36" w:rsidP="001E3D36">
      <w:pPr>
        <w:pStyle w:val="Heading1"/>
        <w:ind w:left="1440"/>
        <w:rPr>
          <w:szCs w:val="24"/>
        </w:rPr>
      </w:pPr>
      <w:r w:rsidRPr="007C7F2E">
        <w:rPr>
          <w:szCs w:val="24"/>
        </w:rPr>
        <w:t>Bern</w:t>
      </w:r>
      <w:r w:rsidR="00304BF6" w:rsidRPr="007C7F2E">
        <w:rPr>
          <w:szCs w:val="24"/>
        </w:rPr>
        <w:t>adette Muthien and Ian Taylor, “</w:t>
      </w:r>
      <w:r w:rsidRPr="007C7F2E">
        <w:rPr>
          <w:szCs w:val="24"/>
        </w:rPr>
        <w:t>The Return of the Dogs of War? The Privatization of Security in Africa,” in Rodney Bruce Hal</w:t>
      </w:r>
      <w:r w:rsidR="007C7F2E">
        <w:rPr>
          <w:szCs w:val="24"/>
        </w:rPr>
        <w:t xml:space="preserve">l and Thomas J. Biersteker (eds), </w:t>
      </w:r>
      <w:r w:rsidRPr="007C7F2E">
        <w:rPr>
          <w:i/>
          <w:szCs w:val="24"/>
        </w:rPr>
        <w:t xml:space="preserve">The Emergence of Private </w:t>
      </w:r>
      <w:r w:rsidR="007C7F2E" w:rsidRPr="007C7F2E">
        <w:rPr>
          <w:i/>
          <w:szCs w:val="24"/>
        </w:rPr>
        <w:t>Authority in Global Governance</w:t>
      </w:r>
      <w:r w:rsidR="007C7F2E">
        <w:rPr>
          <w:szCs w:val="24"/>
        </w:rPr>
        <w:t xml:space="preserve"> (</w:t>
      </w:r>
      <w:r w:rsidRPr="007C7F2E">
        <w:rPr>
          <w:szCs w:val="24"/>
        </w:rPr>
        <w:t>Cambridge: C</w:t>
      </w:r>
      <w:r w:rsidR="007C7F2E">
        <w:rPr>
          <w:szCs w:val="24"/>
        </w:rPr>
        <w:t>ambridge University Press, 2002)</w:t>
      </w:r>
      <w:r w:rsidRPr="007C7F2E">
        <w:rPr>
          <w:szCs w:val="24"/>
        </w:rPr>
        <w:t xml:space="preserve"> pp. 183-199.</w:t>
      </w:r>
    </w:p>
    <w:p w14:paraId="1A57B585" w14:textId="77777777" w:rsidR="001E3D36" w:rsidRPr="00B11AB7" w:rsidRDefault="001E3D36" w:rsidP="001E3D36">
      <w:pPr>
        <w:rPr>
          <w:sz w:val="24"/>
          <w:szCs w:val="24"/>
        </w:rPr>
      </w:pPr>
    </w:p>
    <w:p w14:paraId="17FE7E05" w14:textId="63EFFDEB" w:rsidR="0002737D" w:rsidRDefault="0002737D" w:rsidP="001E3D36">
      <w:pPr>
        <w:ind w:left="1440"/>
        <w:rPr>
          <w:sz w:val="24"/>
          <w:szCs w:val="24"/>
        </w:rPr>
      </w:pPr>
      <w:r>
        <w:rPr>
          <w:sz w:val="24"/>
          <w:szCs w:val="24"/>
        </w:rPr>
        <w:t xml:space="preserve">Nordland, Rod. “Risks of Afghan War Shift from Soldiers to Contractors. </w:t>
      </w:r>
      <w:r w:rsidRPr="00825AF7">
        <w:rPr>
          <w:i/>
          <w:sz w:val="24"/>
          <w:szCs w:val="24"/>
        </w:rPr>
        <w:t>The New York Times</w:t>
      </w:r>
      <w:r>
        <w:rPr>
          <w:sz w:val="24"/>
          <w:szCs w:val="24"/>
        </w:rPr>
        <w:t xml:space="preserve"> (February 11, 2012). </w:t>
      </w:r>
      <w:r w:rsidRPr="0002737D">
        <w:rPr>
          <w:sz w:val="24"/>
          <w:szCs w:val="24"/>
        </w:rPr>
        <w:t>http://www.nytimes.com/2012/02/12/world/asia/afghan-war-risks-are-shifting-to-contractors.html?_r=1&amp;hp</w:t>
      </w:r>
    </w:p>
    <w:p w14:paraId="19354C2D" w14:textId="77777777" w:rsidR="0002737D" w:rsidRDefault="0002737D" w:rsidP="001E3D36">
      <w:pPr>
        <w:ind w:left="1440"/>
        <w:rPr>
          <w:sz w:val="24"/>
          <w:szCs w:val="24"/>
        </w:rPr>
      </w:pPr>
    </w:p>
    <w:p w14:paraId="31DB71C7" w14:textId="0334F888" w:rsidR="001E3D36" w:rsidRDefault="00304BF6" w:rsidP="001E3D36">
      <w:pPr>
        <w:ind w:left="1440"/>
        <w:rPr>
          <w:sz w:val="24"/>
          <w:szCs w:val="24"/>
        </w:rPr>
      </w:pPr>
      <w:r>
        <w:rPr>
          <w:sz w:val="24"/>
          <w:szCs w:val="24"/>
        </w:rPr>
        <w:t>Mat</w:t>
      </w:r>
      <w:r w:rsidR="001E3D36" w:rsidRPr="00B11AB7">
        <w:rPr>
          <w:sz w:val="24"/>
          <w:szCs w:val="24"/>
        </w:rPr>
        <w:t xml:space="preserve">eo Taussig-Rubbo, “Outsourcing Sacrifice: the Labor of Private Military Contractors,” </w:t>
      </w:r>
      <w:r w:rsidR="001E3D36" w:rsidRPr="00B11AB7">
        <w:rPr>
          <w:i/>
          <w:iCs/>
          <w:sz w:val="24"/>
          <w:szCs w:val="24"/>
        </w:rPr>
        <w:t>Yale Journal of Law &amp; the Humanities</w:t>
      </w:r>
      <w:r w:rsidR="001E3D36" w:rsidRPr="00B11AB7">
        <w:rPr>
          <w:sz w:val="24"/>
          <w:szCs w:val="24"/>
        </w:rPr>
        <w:t xml:space="preserve"> 21 (2009): pp. 103-168. </w:t>
      </w:r>
    </w:p>
    <w:p w14:paraId="72241BD7" w14:textId="77777777" w:rsidR="0002737D" w:rsidRDefault="0002737D" w:rsidP="001E3D36">
      <w:pPr>
        <w:ind w:left="1440"/>
        <w:rPr>
          <w:sz w:val="24"/>
          <w:szCs w:val="24"/>
        </w:rPr>
      </w:pPr>
    </w:p>
    <w:p w14:paraId="6E4D0E0C" w14:textId="7BED900F" w:rsidR="0002737D" w:rsidRDefault="00E2189A" w:rsidP="001E3D36">
      <w:pPr>
        <w:ind w:left="1440"/>
        <w:rPr>
          <w:sz w:val="24"/>
          <w:szCs w:val="24"/>
        </w:rPr>
      </w:pPr>
      <w:r>
        <w:rPr>
          <w:sz w:val="24"/>
          <w:szCs w:val="24"/>
        </w:rPr>
        <w:t>Steven L. Schooner</w:t>
      </w:r>
      <w:r w:rsidR="0002737D">
        <w:rPr>
          <w:sz w:val="24"/>
          <w:szCs w:val="24"/>
        </w:rPr>
        <w:t xml:space="preserve"> &amp; Collin D. Swan, “Dead Contractors” </w:t>
      </w:r>
      <w:r w:rsidR="0002737D" w:rsidRPr="0002737D">
        <w:rPr>
          <w:sz w:val="24"/>
          <w:szCs w:val="24"/>
        </w:rPr>
        <w:t>http://papers.ssrn.com/sol3/papers.cfm?abstract_id=1826242</w:t>
      </w:r>
    </w:p>
    <w:p w14:paraId="27224A72" w14:textId="77777777" w:rsidR="00823C15" w:rsidRDefault="00823C15" w:rsidP="001E3D36">
      <w:pPr>
        <w:ind w:left="1440"/>
        <w:rPr>
          <w:sz w:val="24"/>
          <w:szCs w:val="24"/>
        </w:rPr>
      </w:pPr>
    </w:p>
    <w:p w14:paraId="6DF5C8B9" w14:textId="552BA514" w:rsidR="008331D4" w:rsidRPr="00B11AB7" w:rsidRDefault="008331D4" w:rsidP="0002737D">
      <w:pPr>
        <w:pStyle w:val="BodyText"/>
        <w:ind w:left="1440"/>
        <w:rPr>
          <w:szCs w:val="24"/>
        </w:rPr>
      </w:pPr>
      <w:r>
        <w:rPr>
          <w:szCs w:val="24"/>
        </w:rPr>
        <w:t xml:space="preserve">Recommended </w:t>
      </w:r>
      <w:r w:rsidR="00E2189A">
        <w:rPr>
          <w:szCs w:val="24"/>
        </w:rPr>
        <w:t>documentaries available online</w:t>
      </w:r>
      <w:r w:rsidR="00823C15" w:rsidRPr="00B11AB7">
        <w:rPr>
          <w:szCs w:val="24"/>
        </w:rPr>
        <w:t xml:space="preserve">: </w:t>
      </w:r>
      <w:r w:rsidR="00823C15" w:rsidRPr="00B11AB7">
        <w:rPr>
          <w:i/>
          <w:szCs w:val="24"/>
        </w:rPr>
        <w:t>Why We Fight</w:t>
      </w:r>
      <w:r w:rsidR="00823C15">
        <w:rPr>
          <w:szCs w:val="24"/>
        </w:rPr>
        <w:t xml:space="preserve"> (2006</w:t>
      </w:r>
      <w:r w:rsidR="00823C15" w:rsidRPr="00B11AB7">
        <w:rPr>
          <w:szCs w:val="24"/>
        </w:rPr>
        <w:t>)</w:t>
      </w:r>
      <w:r>
        <w:rPr>
          <w:szCs w:val="24"/>
        </w:rPr>
        <w:t xml:space="preserve"> and </w:t>
      </w:r>
      <w:r w:rsidRPr="008331D4">
        <w:rPr>
          <w:i/>
          <w:szCs w:val="24"/>
        </w:rPr>
        <w:t>No End in Sight</w:t>
      </w:r>
      <w:r w:rsidR="00E2189A">
        <w:rPr>
          <w:szCs w:val="24"/>
        </w:rPr>
        <w:t xml:space="preserve"> (2007).</w:t>
      </w:r>
    </w:p>
    <w:p w14:paraId="3CE59A65" w14:textId="77777777" w:rsidR="00163010" w:rsidRPr="00B11AB7" w:rsidRDefault="00163010" w:rsidP="00952369">
      <w:pPr>
        <w:pStyle w:val="BodyText"/>
        <w:rPr>
          <w:szCs w:val="24"/>
          <w:u w:val="single"/>
        </w:rPr>
      </w:pPr>
    </w:p>
    <w:p w14:paraId="7D12D8B0" w14:textId="0EC464EA" w:rsidR="00163010" w:rsidRPr="00B11AB7" w:rsidRDefault="00D02BD8" w:rsidP="00163010">
      <w:pPr>
        <w:pStyle w:val="BodyText"/>
        <w:ind w:left="1440" w:hanging="1440"/>
        <w:rPr>
          <w:szCs w:val="24"/>
        </w:rPr>
      </w:pPr>
      <w:r w:rsidRPr="00B11AB7">
        <w:rPr>
          <w:szCs w:val="24"/>
          <w:u w:val="single"/>
        </w:rPr>
        <w:t>Feb. 8</w:t>
      </w:r>
      <w:r w:rsidR="00994210" w:rsidRPr="00B11AB7">
        <w:rPr>
          <w:szCs w:val="24"/>
        </w:rPr>
        <w:t xml:space="preserve">: </w:t>
      </w:r>
      <w:r w:rsidR="00994210" w:rsidRPr="00B11AB7">
        <w:rPr>
          <w:szCs w:val="24"/>
        </w:rPr>
        <w:tab/>
      </w:r>
      <w:r w:rsidR="00163010" w:rsidRPr="00B11AB7">
        <w:rPr>
          <w:szCs w:val="24"/>
        </w:rPr>
        <w:t>The US and</w:t>
      </w:r>
      <w:r w:rsidR="00E16654" w:rsidRPr="00B11AB7">
        <w:rPr>
          <w:szCs w:val="24"/>
        </w:rPr>
        <w:t>/in</w:t>
      </w:r>
      <w:r w:rsidR="00163010" w:rsidRPr="00B11AB7">
        <w:rPr>
          <w:szCs w:val="24"/>
        </w:rPr>
        <w:t xml:space="preserve"> Iraq</w:t>
      </w:r>
    </w:p>
    <w:p w14:paraId="6D3B55D9" w14:textId="77777777" w:rsidR="00952369" w:rsidRPr="00B11AB7" w:rsidRDefault="00EC112D" w:rsidP="00163010">
      <w:pPr>
        <w:pStyle w:val="BodyTextIndent3"/>
        <w:ind w:left="0"/>
        <w:rPr>
          <w:rFonts w:ascii="Times New Roman" w:hAnsi="Times New Roman"/>
          <w:szCs w:val="24"/>
        </w:rPr>
      </w:pPr>
      <w:r w:rsidRPr="00B11AB7">
        <w:rPr>
          <w:rFonts w:ascii="Times New Roman" w:hAnsi="Times New Roman"/>
          <w:szCs w:val="24"/>
        </w:rPr>
        <w:tab/>
      </w:r>
      <w:r w:rsidR="00486427" w:rsidRPr="00B11AB7">
        <w:rPr>
          <w:rFonts w:ascii="Times New Roman" w:hAnsi="Times New Roman"/>
          <w:szCs w:val="24"/>
        </w:rPr>
        <w:tab/>
      </w:r>
    </w:p>
    <w:p w14:paraId="79A83A8D" w14:textId="1F6013EA" w:rsidR="00952369" w:rsidRPr="00B11AB7" w:rsidRDefault="00952369" w:rsidP="00952369">
      <w:pPr>
        <w:pStyle w:val="BodyTextIndent3"/>
        <w:rPr>
          <w:rFonts w:ascii="Times New Roman" w:hAnsi="Times New Roman"/>
          <w:szCs w:val="24"/>
        </w:rPr>
      </w:pPr>
      <w:r w:rsidRPr="00B11AB7">
        <w:rPr>
          <w:rFonts w:ascii="Times New Roman" w:hAnsi="Times New Roman"/>
          <w:szCs w:val="24"/>
        </w:rPr>
        <w:t xml:space="preserve">Toby Dodge, “Grand Ambitions and Far-Reaching Failures: the United States in Iraq, “in </w:t>
      </w:r>
      <w:r w:rsidRPr="00B11AB7">
        <w:rPr>
          <w:rFonts w:ascii="Times New Roman" w:hAnsi="Times New Roman"/>
          <w:i/>
          <w:szCs w:val="24"/>
        </w:rPr>
        <w:t>America and Iraq</w:t>
      </w:r>
      <w:r w:rsidRPr="00B11AB7">
        <w:rPr>
          <w:rFonts w:ascii="Times New Roman" w:hAnsi="Times New Roman"/>
          <w:szCs w:val="24"/>
        </w:rPr>
        <w:t xml:space="preserve">, pp. 92-102.  </w:t>
      </w:r>
    </w:p>
    <w:p w14:paraId="4DF9FB9F" w14:textId="77777777" w:rsidR="00952369" w:rsidRPr="00B11AB7" w:rsidRDefault="00952369" w:rsidP="00952369">
      <w:pPr>
        <w:pStyle w:val="BodyTextIndent3"/>
        <w:ind w:left="720" w:firstLine="720"/>
        <w:rPr>
          <w:rFonts w:ascii="Times New Roman" w:hAnsi="Times New Roman"/>
          <w:szCs w:val="24"/>
        </w:rPr>
      </w:pPr>
    </w:p>
    <w:p w14:paraId="11E7B1F2" w14:textId="6E57B460" w:rsidR="00994210" w:rsidRPr="00B11AB7" w:rsidRDefault="00486D33" w:rsidP="00952369">
      <w:pPr>
        <w:pStyle w:val="BodyTextIndent3"/>
        <w:rPr>
          <w:rFonts w:ascii="Times New Roman" w:hAnsi="Times New Roman"/>
          <w:szCs w:val="24"/>
        </w:rPr>
      </w:pPr>
      <w:r w:rsidRPr="00B11AB7">
        <w:rPr>
          <w:rFonts w:ascii="Times New Roman" w:hAnsi="Times New Roman"/>
          <w:szCs w:val="24"/>
        </w:rPr>
        <w:t>John Morrissey, “The geoeconomic pivot of the global war on t</w:t>
      </w:r>
      <w:r w:rsidR="00952369" w:rsidRPr="00B11AB7">
        <w:rPr>
          <w:rFonts w:ascii="Times New Roman" w:hAnsi="Times New Roman"/>
          <w:szCs w:val="24"/>
        </w:rPr>
        <w:t>error: US Central C</w:t>
      </w:r>
      <w:r w:rsidRPr="00B11AB7">
        <w:rPr>
          <w:rFonts w:ascii="Times New Roman" w:hAnsi="Times New Roman"/>
          <w:szCs w:val="24"/>
        </w:rPr>
        <w:t>ommand and the war in Iraq,” in</w:t>
      </w:r>
      <w:r w:rsidR="00952369" w:rsidRPr="00B11AB7">
        <w:rPr>
          <w:rFonts w:ascii="Times New Roman" w:hAnsi="Times New Roman"/>
          <w:szCs w:val="24"/>
        </w:rPr>
        <w:t xml:space="preserve"> </w:t>
      </w:r>
      <w:r w:rsidR="00EC112D" w:rsidRPr="00B11AB7">
        <w:rPr>
          <w:rFonts w:ascii="Times New Roman" w:hAnsi="Times New Roman"/>
          <w:i/>
          <w:szCs w:val="24"/>
        </w:rPr>
        <w:t>America and Iraq</w:t>
      </w:r>
      <w:r w:rsidR="00EC112D" w:rsidRPr="00B11AB7">
        <w:rPr>
          <w:rFonts w:ascii="Times New Roman" w:hAnsi="Times New Roman"/>
          <w:szCs w:val="24"/>
        </w:rPr>
        <w:t xml:space="preserve">, </w:t>
      </w:r>
      <w:r w:rsidR="00952369" w:rsidRPr="00B11AB7">
        <w:rPr>
          <w:rFonts w:ascii="Times New Roman" w:hAnsi="Times New Roman"/>
          <w:szCs w:val="24"/>
        </w:rPr>
        <w:t>pp. 103-122.</w:t>
      </w:r>
    </w:p>
    <w:p w14:paraId="65861EFD" w14:textId="77777777" w:rsidR="00952369" w:rsidRPr="00B11AB7" w:rsidRDefault="00952369" w:rsidP="00952369">
      <w:pPr>
        <w:pStyle w:val="BodyTextIndent3"/>
        <w:rPr>
          <w:rFonts w:ascii="Times New Roman" w:hAnsi="Times New Roman"/>
          <w:szCs w:val="24"/>
        </w:rPr>
      </w:pPr>
    </w:p>
    <w:p w14:paraId="26C5A576" w14:textId="43E8C69C" w:rsidR="00952369" w:rsidRPr="00B11AB7" w:rsidRDefault="00952369" w:rsidP="00952369">
      <w:pPr>
        <w:pStyle w:val="BodyTextIndent3"/>
        <w:rPr>
          <w:rFonts w:ascii="Times New Roman" w:hAnsi="Times New Roman"/>
          <w:szCs w:val="24"/>
        </w:rPr>
      </w:pPr>
      <w:r w:rsidRPr="00B11AB7">
        <w:rPr>
          <w:rFonts w:ascii="Times New Roman" w:hAnsi="Times New Roman"/>
          <w:szCs w:val="24"/>
        </w:rPr>
        <w:t xml:space="preserve">Melani McAlister, “What would Jesus do? Evangelicals, the </w:t>
      </w:r>
      <w:r w:rsidR="00486D33" w:rsidRPr="00B11AB7">
        <w:rPr>
          <w:rFonts w:ascii="Times New Roman" w:hAnsi="Times New Roman"/>
          <w:szCs w:val="24"/>
        </w:rPr>
        <w:t xml:space="preserve">Iraq War, and the struggle for position,” in </w:t>
      </w:r>
      <w:r w:rsidR="00486D33" w:rsidRPr="00B11AB7">
        <w:rPr>
          <w:rFonts w:ascii="Times New Roman" w:hAnsi="Times New Roman"/>
          <w:i/>
          <w:szCs w:val="24"/>
        </w:rPr>
        <w:t>America and Iraq</w:t>
      </w:r>
      <w:r w:rsidR="00486D33" w:rsidRPr="00B11AB7">
        <w:rPr>
          <w:rFonts w:ascii="Times New Roman" w:hAnsi="Times New Roman"/>
          <w:szCs w:val="24"/>
        </w:rPr>
        <w:t>, pp. 123-153.</w:t>
      </w:r>
    </w:p>
    <w:p w14:paraId="7EBFCBA5" w14:textId="77777777" w:rsidR="00486D33" w:rsidRPr="00B11AB7" w:rsidRDefault="00486D33" w:rsidP="00952369">
      <w:pPr>
        <w:pStyle w:val="BodyTextIndent3"/>
        <w:rPr>
          <w:rFonts w:ascii="Times New Roman" w:hAnsi="Times New Roman"/>
          <w:szCs w:val="24"/>
        </w:rPr>
      </w:pPr>
    </w:p>
    <w:p w14:paraId="27623593" w14:textId="19C36D8F" w:rsidR="00163010" w:rsidRPr="00E23C67" w:rsidRDefault="00486D33" w:rsidP="00E23C67">
      <w:pPr>
        <w:pStyle w:val="BodyTextIndent3"/>
        <w:rPr>
          <w:rFonts w:ascii="Times New Roman" w:hAnsi="Times New Roman"/>
          <w:szCs w:val="24"/>
        </w:rPr>
      </w:pPr>
      <w:r w:rsidRPr="00B11AB7">
        <w:rPr>
          <w:rFonts w:ascii="Times New Roman" w:hAnsi="Times New Roman"/>
          <w:szCs w:val="24"/>
        </w:rPr>
        <w:t xml:space="preserve">Scott Lucas &amp; </w:t>
      </w:r>
      <w:r w:rsidR="00D517B2" w:rsidRPr="00B11AB7">
        <w:rPr>
          <w:rFonts w:ascii="Times New Roman" w:hAnsi="Times New Roman"/>
          <w:szCs w:val="24"/>
        </w:rPr>
        <w:t xml:space="preserve">Maria Ryan, “Against everyone and no-one: the failure of the unipolar in Iraq and beyond,” in </w:t>
      </w:r>
      <w:r w:rsidR="00D517B2" w:rsidRPr="00B11AB7">
        <w:rPr>
          <w:rFonts w:ascii="Times New Roman" w:hAnsi="Times New Roman"/>
          <w:i/>
          <w:szCs w:val="24"/>
        </w:rPr>
        <w:t>America and Iraq</w:t>
      </w:r>
      <w:r w:rsidR="00D517B2" w:rsidRPr="00B11AB7">
        <w:rPr>
          <w:rFonts w:ascii="Times New Roman" w:hAnsi="Times New Roman"/>
          <w:szCs w:val="24"/>
        </w:rPr>
        <w:t>, pp. 154-180.</w:t>
      </w:r>
    </w:p>
    <w:p w14:paraId="150A3AEC" w14:textId="77777777" w:rsidR="00D74444" w:rsidRDefault="00D74444" w:rsidP="00163010">
      <w:pPr>
        <w:pStyle w:val="BodyText"/>
        <w:ind w:left="1440" w:hanging="1440"/>
        <w:rPr>
          <w:szCs w:val="24"/>
          <w:u w:val="single"/>
        </w:rPr>
      </w:pPr>
    </w:p>
    <w:p w14:paraId="1364743F" w14:textId="77777777" w:rsidR="00F47D23" w:rsidRDefault="00F47D23" w:rsidP="00163010">
      <w:pPr>
        <w:pStyle w:val="BodyText"/>
        <w:ind w:left="1440" w:hanging="1440"/>
        <w:rPr>
          <w:szCs w:val="24"/>
          <w:u w:val="single"/>
        </w:rPr>
      </w:pPr>
    </w:p>
    <w:p w14:paraId="0009CD96" w14:textId="2CF6AD7F" w:rsidR="00163010" w:rsidRPr="00B11AB7" w:rsidRDefault="00D02BD8" w:rsidP="00163010">
      <w:pPr>
        <w:pStyle w:val="BodyText"/>
        <w:ind w:left="1440" w:hanging="1440"/>
        <w:rPr>
          <w:szCs w:val="24"/>
        </w:rPr>
      </w:pPr>
      <w:r w:rsidRPr="00B11AB7">
        <w:rPr>
          <w:szCs w:val="24"/>
          <w:u w:val="single"/>
        </w:rPr>
        <w:t>Feb. 13</w:t>
      </w:r>
      <w:r w:rsidR="00994210" w:rsidRPr="00B11AB7">
        <w:rPr>
          <w:szCs w:val="24"/>
        </w:rPr>
        <w:t xml:space="preserve">: </w:t>
      </w:r>
      <w:r w:rsidR="00994210" w:rsidRPr="00B11AB7">
        <w:rPr>
          <w:szCs w:val="24"/>
        </w:rPr>
        <w:tab/>
      </w:r>
      <w:r w:rsidR="00163010" w:rsidRPr="00B11AB7">
        <w:rPr>
          <w:b/>
          <w:szCs w:val="24"/>
        </w:rPr>
        <w:t xml:space="preserve">Midterm exam (in class). You will be given six possible essay topics to prepare in advance.  On the day of the exam you will </w:t>
      </w:r>
      <w:r w:rsidR="007552E9" w:rsidRPr="00B11AB7">
        <w:rPr>
          <w:b/>
          <w:szCs w:val="24"/>
        </w:rPr>
        <w:t>be asked to select</w:t>
      </w:r>
      <w:r w:rsidR="00163010" w:rsidRPr="00B11AB7">
        <w:rPr>
          <w:b/>
          <w:szCs w:val="24"/>
        </w:rPr>
        <w:t xml:space="preserve"> 2 out of 3 </w:t>
      </w:r>
      <w:r w:rsidR="007552E9" w:rsidRPr="00B11AB7">
        <w:rPr>
          <w:b/>
          <w:szCs w:val="24"/>
        </w:rPr>
        <w:t xml:space="preserve">of these </w:t>
      </w:r>
      <w:r w:rsidR="00163010" w:rsidRPr="00B11AB7">
        <w:rPr>
          <w:b/>
          <w:szCs w:val="24"/>
        </w:rPr>
        <w:t xml:space="preserve">topics and </w:t>
      </w:r>
      <w:r w:rsidR="00F47D23">
        <w:rPr>
          <w:b/>
          <w:szCs w:val="24"/>
        </w:rPr>
        <w:t>write</w:t>
      </w:r>
      <w:r w:rsidR="00163010" w:rsidRPr="00B11AB7">
        <w:rPr>
          <w:b/>
          <w:szCs w:val="24"/>
        </w:rPr>
        <w:t xml:space="preserve"> </w:t>
      </w:r>
      <w:r w:rsidR="007552E9" w:rsidRPr="00B11AB7">
        <w:rPr>
          <w:b/>
          <w:szCs w:val="24"/>
        </w:rPr>
        <w:t>short essay</w:t>
      </w:r>
      <w:r w:rsidR="00163010" w:rsidRPr="00B11AB7">
        <w:rPr>
          <w:b/>
          <w:szCs w:val="24"/>
        </w:rPr>
        <w:t xml:space="preserve"> responses.</w:t>
      </w:r>
    </w:p>
    <w:p w14:paraId="0E6AB91B" w14:textId="77777777" w:rsidR="00F47D23" w:rsidRDefault="00F47D23" w:rsidP="00994210">
      <w:pPr>
        <w:pStyle w:val="BodyText"/>
        <w:rPr>
          <w:szCs w:val="24"/>
        </w:rPr>
      </w:pPr>
    </w:p>
    <w:p w14:paraId="58E2EF7C" w14:textId="77777777" w:rsidR="00D74444" w:rsidRPr="00B11AB7" w:rsidRDefault="00D74444" w:rsidP="00994210">
      <w:pPr>
        <w:pStyle w:val="BodyText"/>
        <w:rPr>
          <w:szCs w:val="24"/>
        </w:rPr>
      </w:pPr>
    </w:p>
    <w:p w14:paraId="3483889A" w14:textId="39BDEBD7" w:rsidR="008F1F9C" w:rsidRDefault="00163010" w:rsidP="00AE4D56">
      <w:pPr>
        <w:rPr>
          <w:b/>
          <w:sz w:val="28"/>
          <w:szCs w:val="28"/>
        </w:rPr>
      </w:pPr>
      <w:r w:rsidRPr="00DD68FC">
        <w:rPr>
          <w:b/>
          <w:sz w:val="28"/>
          <w:szCs w:val="28"/>
        </w:rPr>
        <w:t>III.</w:t>
      </w:r>
      <w:r w:rsidRPr="00DD68FC">
        <w:rPr>
          <w:b/>
          <w:sz w:val="28"/>
          <w:szCs w:val="28"/>
        </w:rPr>
        <w:tab/>
      </w:r>
      <w:r w:rsidR="00B40744" w:rsidRPr="00DD68FC">
        <w:rPr>
          <w:b/>
          <w:sz w:val="28"/>
          <w:szCs w:val="28"/>
        </w:rPr>
        <w:t>American law and power</w:t>
      </w:r>
      <w:r w:rsidRPr="00DD68FC">
        <w:rPr>
          <w:b/>
          <w:sz w:val="28"/>
          <w:szCs w:val="28"/>
        </w:rPr>
        <w:t xml:space="preserve"> in a globalizing world</w:t>
      </w:r>
    </w:p>
    <w:p w14:paraId="4457241C" w14:textId="77777777" w:rsidR="00A97249" w:rsidRPr="00DD68FC" w:rsidRDefault="00A97249" w:rsidP="00AE4D56">
      <w:pPr>
        <w:rPr>
          <w:b/>
          <w:sz w:val="28"/>
          <w:szCs w:val="28"/>
        </w:rPr>
      </w:pPr>
    </w:p>
    <w:p w14:paraId="2F4BFDBA" w14:textId="77777777" w:rsidR="00F47D23" w:rsidRPr="00B11AB7" w:rsidRDefault="00F47D23" w:rsidP="00AE4D56">
      <w:pPr>
        <w:rPr>
          <w:sz w:val="24"/>
          <w:szCs w:val="24"/>
          <w:u w:val="single"/>
        </w:rPr>
      </w:pPr>
    </w:p>
    <w:p w14:paraId="148A4306" w14:textId="0988303A" w:rsidR="00AE4D56" w:rsidRDefault="00D02BD8" w:rsidP="0028254C">
      <w:pPr>
        <w:rPr>
          <w:sz w:val="24"/>
          <w:szCs w:val="24"/>
        </w:rPr>
      </w:pPr>
      <w:r w:rsidRPr="00B11AB7">
        <w:rPr>
          <w:sz w:val="24"/>
          <w:szCs w:val="24"/>
          <w:u w:val="single"/>
        </w:rPr>
        <w:t>Feb. 15</w:t>
      </w:r>
      <w:r w:rsidR="00994210" w:rsidRPr="00B11AB7">
        <w:rPr>
          <w:sz w:val="24"/>
          <w:szCs w:val="24"/>
        </w:rPr>
        <w:t xml:space="preserve">:  </w:t>
      </w:r>
      <w:r w:rsidR="00994210" w:rsidRPr="00B11AB7">
        <w:rPr>
          <w:sz w:val="24"/>
          <w:szCs w:val="24"/>
        </w:rPr>
        <w:tab/>
      </w:r>
      <w:r w:rsidR="00DD68FC">
        <w:rPr>
          <w:sz w:val="24"/>
          <w:szCs w:val="24"/>
        </w:rPr>
        <w:t>International criminal responsibility I</w:t>
      </w:r>
    </w:p>
    <w:p w14:paraId="771C08BD" w14:textId="77777777" w:rsidR="00DD68FC" w:rsidRPr="00B11AB7" w:rsidRDefault="00DD68FC" w:rsidP="0028254C">
      <w:pPr>
        <w:rPr>
          <w:sz w:val="24"/>
          <w:szCs w:val="24"/>
        </w:rPr>
      </w:pPr>
    </w:p>
    <w:p w14:paraId="20CEA209" w14:textId="5BFBB5ED" w:rsidR="00DD68FC" w:rsidRPr="00B11AB7" w:rsidRDefault="00DD68FC" w:rsidP="00DD68FC">
      <w:pPr>
        <w:pStyle w:val="BodyText"/>
        <w:ind w:left="1440"/>
        <w:rPr>
          <w:szCs w:val="24"/>
        </w:rPr>
      </w:pPr>
      <w:r w:rsidRPr="00B11AB7">
        <w:rPr>
          <w:szCs w:val="24"/>
        </w:rPr>
        <w:t xml:space="preserve">Julian Borger, “The hunt for the former Yugoslavia’s war criminals: mission accomplished,” </w:t>
      </w:r>
      <w:r w:rsidRPr="00B11AB7">
        <w:rPr>
          <w:i/>
          <w:szCs w:val="24"/>
        </w:rPr>
        <w:t>The Guardian</w:t>
      </w:r>
      <w:r w:rsidRPr="00B11AB7">
        <w:rPr>
          <w:szCs w:val="24"/>
        </w:rPr>
        <w:t xml:space="preserve"> (3 August 2011). http://www.guardian.co.uk/world/2011/aug/03/former-yugoslavia-war-crimes-hunt</w:t>
      </w:r>
    </w:p>
    <w:p w14:paraId="322B0039" w14:textId="77777777" w:rsidR="00DD68FC" w:rsidRDefault="00DD68FC" w:rsidP="00DD68FC">
      <w:pPr>
        <w:widowControl w:val="0"/>
        <w:autoSpaceDE w:val="0"/>
        <w:autoSpaceDN w:val="0"/>
        <w:adjustRightInd w:val="0"/>
        <w:rPr>
          <w:rFonts w:eastAsiaTheme="minorHAnsi"/>
          <w:sz w:val="24"/>
          <w:szCs w:val="24"/>
        </w:rPr>
      </w:pPr>
    </w:p>
    <w:p w14:paraId="36B45317" w14:textId="77777777" w:rsidR="00DD68FC" w:rsidRDefault="00DD68FC" w:rsidP="00DD68FC">
      <w:pPr>
        <w:widowControl w:val="0"/>
        <w:autoSpaceDE w:val="0"/>
        <w:autoSpaceDN w:val="0"/>
        <w:adjustRightInd w:val="0"/>
        <w:ind w:left="1440"/>
        <w:rPr>
          <w:rFonts w:eastAsiaTheme="minorHAnsi"/>
          <w:sz w:val="24"/>
          <w:szCs w:val="24"/>
        </w:rPr>
      </w:pPr>
      <w:r>
        <w:rPr>
          <w:rFonts w:eastAsiaTheme="minorHAnsi"/>
          <w:sz w:val="24"/>
          <w:szCs w:val="24"/>
        </w:rPr>
        <w:t xml:space="preserve">Christopher J. Piranio, “Introduction: Reflections on the Rome Statute,” </w:t>
      </w:r>
      <w:r w:rsidRPr="00676EC7">
        <w:rPr>
          <w:rFonts w:eastAsiaTheme="minorHAnsi"/>
          <w:i/>
          <w:sz w:val="24"/>
          <w:szCs w:val="24"/>
        </w:rPr>
        <w:t>Cambridge Review of International Affairs</w:t>
      </w:r>
      <w:r>
        <w:rPr>
          <w:rFonts w:eastAsiaTheme="minorHAnsi"/>
          <w:sz w:val="24"/>
          <w:szCs w:val="24"/>
        </w:rPr>
        <w:t xml:space="preserve"> 24: 3 (2011): 307-8.</w:t>
      </w:r>
    </w:p>
    <w:p w14:paraId="3EE45EAA" w14:textId="77777777" w:rsidR="00DD68FC" w:rsidRPr="00636606" w:rsidRDefault="00DD68FC" w:rsidP="00DD68FC">
      <w:pPr>
        <w:widowControl w:val="0"/>
        <w:autoSpaceDE w:val="0"/>
        <w:autoSpaceDN w:val="0"/>
        <w:adjustRightInd w:val="0"/>
        <w:ind w:left="1440"/>
        <w:rPr>
          <w:rFonts w:eastAsiaTheme="minorHAnsi"/>
          <w:sz w:val="24"/>
          <w:szCs w:val="24"/>
        </w:rPr>
      </w:pPr>
    </w:p>
    <w:p w14:paraId="5A107A45" w14:textId="77777777" w:rsidR="00DD68FC" w:rsidRDefault="00DD68FC" w:rsidP="00DD68FC">
      <w:pPr>
        <w:widowControl w:val="0"/>
        <w:autoSpaceDE w:val="0"/>
        <w:autoSpaceDN w:val="0"/>
        <w:adjustRightInd w:val="0"/>
        <w:ind w:left="1440"/>
        <w:rPr>
          <w:rFonts w:eastAsiaTheme="minorHAnsi"/>
          <w:sz w:val="24"/>
          <w:szCs w:val="24"/>
        </w:rPr>
      </w:pPr>
      <w:r w:rsidRPr="00B11AB7">
        <w:rPr>
          <w:rFonts w:eastAsiaTheme="minorHAnsi"/>
          <w:sz w:val="24"/>
          <w:szCs w:val="24"/>
        </w:rPr>
        <w:t xml:space="preserve">Kirsten Ainley, “The International Criminal Court on Trial,” </w:t>
      </w:r>
      <w:r w:rsidRPr="00B11AB7">
        <w:rPr>
          <w:rFonts w:eastAsiaTheme="minorHAnsi"/>
          <w:i/>
          <w:sz w:val="24"/>
          <w:szCs w:val="24"/>
        </w:rPr>
        <w:t>Cambridge Review of International Affairs</w:t>
      </w:r>
      <w:r w:rsidRPr="00B11AB7">
        <w:rPr>
          <w:rFonts w:eastAsiaTheme="minorHAnsi"/>
          <w:sz w:val="24"/>
          <w:szCs w:val="24"/>
        </w:rPr>
        <w:t>, 24:3 (2011): 309-333.</w:t>
      </w:r>
    </w:p>
    <w:p w14:paraId="452F9317" w14:textId="77777777" w:rsidR="00DD68FC" w:rsidRDefault="00DD68FC" w:rsidP="00DD68FC">
      <w:pPr>
        <w:widowControl w:val="0"/>
        <w:autoSpaceDE w:val="0"/>
        <w:autoSpaceDN w:val="0"/>
        <w:adjustRightInd w:val="0"/>
        <w:ind w:left="1440"/>
        <w:rPr>
          <w:rFonts w:eastAsiaTheme="minorHAnsi"/>
          <w:sz w:val="24"/>
          <w:szCs w:val="24"/>
        </w:rPr>
      </w:pPr>
    </w:p>
    <w:p w14:paraId="7A48F569" w14:textId="627F3DCE" w:rsidR="00DD68FC" w:rsidRDefault="00DD68FC" w:rsidP="00DD68FC">
      <w:pPr>
        <w:widowControl w:val="0"/>
        <w:autoSpaceDE w:val="0"/>
        <w:autoSpaceDN w:val="0"/>
        <w:adjustRightInd w:val="0"/>
        <w:ind w:left="1440"/>
        <w:rPr>
          <w:rFonts w:eastAsiaTheme="minorHAnsi"/>
          <w:sz w:val="24"/>
          <w:szCs w:val="24"/>
        </w:rPr>
      </w:pPr>
      <w:r>
        <w:rPr>
          <w:rFonts w:eastAsiaTheme="minorHAnsi"/>
          <w:sz w:val="24"/>
          <w:szCs w:val="24"/>
        </w:rPr>
        <w:t xml:space="preserve">Roger O’Keefe, “The United States and the ICC: the Force and Farce of the Legal Arguments,” </w:t>
      </w:r>
      <w:r w:rsidRPr="00B11AB7">
        <w:rPr>
          <w:rFonts w:eastAsiaTheme="minorHAnsi"/>
          <w:i/>
          <w:sz w:val="24"/>
          <w:szCs w:val="24"/>
        </w:rPr>
        <w:t>Cambridge Review of International Affairs</w:t>
      </w:r>
      <w:r w:rsidRPr="00B11AB7">
        <w:rPr>
          <w:rFonts w:eastAsiaTheme="minorHAnsi"/>
          <w:sz w:val="24"/>
          <w:szCs w:val="24"/>
        </w:rPr>
        <w:t>, 24:3 (2011):</w:t>
      </w:r>
      <w:r>
        <w:rPr>
          <w:rFonts w:eastAsiaTheme="minorHAnsi"/>
          <w:sz w:val="24"/>
          <w:szCs w:val="24"/>
        </w:rPr>
        <w:t xml:space="preserve"> 335-355.</w:t>
      </w:r>
    </w:p>
    <w:p w14:paraId="2327691D" w14:textId="4EE7770A" w:rsidR="00AE4D56" w:rsidRPr="00B11AB7" w:rsidRDefault="00AE4D56" w:rsidP="00AE4D56">
      <w:pPr>
        <w:rPr>
          <w:sz w:val="24"/>
          <w:szCs w:val="24"/>
        </w:rPr>
      </w:pPr>
    </w:p>
    <w:p w14:paraId="2F769CE5" w14:textId="761710C9" w:rsidR="00676EC7" w:rsidRPr="00B11AB7" w:rsidRDefault="00AE4D56" w:rsidP="00676EC7">
      <w:pPr>
        <w:rPr>
          <w:sz w:val="24"/>
          <w:szCs w:val="24"/>
        </w:rPr>
      </w:pPr>
      <w:r w:rsidRPr="00B11AB7">
        <w:rPr>
          <w:sz w:val="24"/>
          <w:szCs w:val="24"/>
          <w:u w:val="single"/>
        </w:rPr>
        <w:t>Feb. 20</w:t>
      </w:r>
      <w:r w:rsidRPr="00B11AB7">
        <w:rPr>
          <w:sz w:val="24"/>
          <w:szCs w:val="24"/>
        </w:rPr>
        <w:t>:</w:t>
      </w:r>
      <w:r w:rsidRPr="00B11AB7">
        <w:rPr>
          <w:sz w:val="24"/>
          <w:szCs w:val="24"/>
        </w:rPr>
        <w:tab/>
      </w:r>
      <w:r w:rsidR="00676EC7">
        <w:rPr>
          <w:sz w:val="24"/>
          <w:szCs w:val="24"/>
        </w:rPr>
        <w:t xml:space="preserve">International criminal </w:t>
      </w:r>
      <w:r w:rsidR="00AF3EF2">
        <w:rPr>
          <w:sz w:val="24"/>
          <w:szCs w:val="24"/>
        </w:rPr>
        <w:t xml:space="preserve">responsibility </w:t>
      </w:r>
      <w:r w:rsidR="00DD68FC">
        <w:rPr>
          <w:sz w:val="24"/>
          <w:szCs w:val="24"/>
        </w:rPr>
        <w:t>II</w:t>
      </w:r>
    </w:p>
    <w:p w14:paraId="746DD6A7" w14:textId="77777777" w:rsidR="00676EC7" w:rsidRPr="00B11AB7" w:rsidRDefault="00676EC7" w:rsidP="00676EC7">
      <w:pPr>
        <w:rPr>
          <w:sz w:val="24"/>
          <w:szCs w:val="24"/>
        </w:rPr>
      </w:pPr>
      <w:r w:rsidRPr="00B11AB7">
        <w:rPr>
          <w:sz w:val="24"/>
          <w:szCs w:val="24"/>
        </w:rPr>
        <w:tab/>
      </w:r>
      <w:r w:rsidRPr="00B11AB7">
        <w:rPr>
          <w:sz w:val="24"/>
          <w:szCs w:val="24"/>
        </w:rPr>
        <w:tab/>
      </w:r>
    </w:p>
    <w:p w14:paraId="25B1A2AC" w14:textId="57B82B95" w:rsidR="00F853AD" w:rsidRDefault="00F853AD" w:rsidP="00F853AD">
      <w:pPr>
        <w:widowControl w:val="0"/>
        <w:autoSpaceDE w:val="0"/>
        <w:autoSpaceDN w:val="0"/>
        <w:adjustRightInd w:val="0"/>
        <w:ind w:left="1440"/>
        <w:rPr>
          <w:rFonts w:eastAsiaTheme="minorHAnsi"/>
          <w:sz w:val="24"/>
          <w:szCs w:val="24"/>
        </w:rPr>
      </w:pPr>
      <w:r>
        <w:rPr>
          <w:rFonts w:eastAsiaTheme="minorHAnsi"/>
          <w:sz w:val="24"/>
          <w:szCs w:val="24"/>
        </w:rPr>
        <w:t xml:space="preserve">David Bosco, “The state of international justice: an interview with David Scheffer,” </w:t>
      </w:r>
      <w:r w:rsidRPr="00676EC7">
        <w:rPr>
          <w:rFonts w:eastAsiaTheme="minorHAnsi"/>
          <w:i/>
          <w:sz w:val="24"/>
          <w:szCs w:val="24"/>
        </w:rPr>
        <w:t>The Multilateralist</w:t>
      </w:r>
      <w:r>
        <w:rPr>
          <w:rFonts w:eastAsiaTheme="minorHAnsi"/>
          <w:sz w:val="24"/>
          <w:szCs w:val="24"/>
        </w:rPr>
        <w:t xml:space="preserve">, Foreign Policy.com (December 7, 2011). </w:t>
      </w:r>
      <w:hyperlink r:id="rId11" w:anchor=".Tt_af4nDrfM.twitter" w:history="1">
        <w:r w:rsidR="00AF3EF2" w:rsidRPr="000154C4">
          <w:rPr>
            <w:rStyle w:val="Hyperlink"/>
            <w:rFonts w:eastAsiaTheme="minorHAnsi"/>
            <w:sz w:val="24"/>
            <w:szCs w:val="24"/>
          </w:rPr>
          <w:t>http://bosco.foreignpolicy.com/posts/2011/12/07/the_state_of_international_justice_an_interview_with_david_scheffer#.Tt_af4nDrfM.twitter</w:t>
        </w:r>
      </w:hyperlink>
    </w:p>
    <w:p w14:paraId="0FD2FB5B" w14:textId="77777777" w:rsidR="00AF3EF2" w:rsidRDefault="00AF3EF2" w:rsidP="00F853AD">
      <w:pPr>
        <w:widowControl w:val="0"/>
        <w:autoSpaceDE w:val="0"/>
        <w:autoSpaceDN w:val="0"/>
        <w:adjustRightInd w:val="0"/>
        <w:ind w:left="1440"/>
        <w:rPr>
          <w:rFonts w:eastAsiaTheme="minorHAnsi"/>
          <w:sz w:val="24"/>
          <w:szCs w:val="24"/>
        </w:rPr>
      </w:pPr>
    </w:p>
    <w:p w14:paraId="4F6CD1C3" w14:textId="7EE904F2" w:rsidR="00AF3EF2" w:rsidRDefault="00AF3EF2" w:rsidP="00F853AD">
      <w:pPr>
        <w:widowControl w:val="0"/>
        <w:autoSpaceDE w:val="0"/>
        <w:autoSpaceDN w:val="0"/>
        <w:adjustRightInd w:val="0"/>
        <w:ind w:left="1440"/>
        <w:rPr>
          <w:rFonts w:eastAsiaTheme="minorHAnsi"/>
          <w:sz w:val="24"/>
          <w:szCs w:val="24"/>
        </w:rPr>
      </w:pPr>
      <w:r>
        <w:rPr>
          <w:rFonts w:eastAsiaTheme="minorHAnsi"/>
          <w:sz w:val="24"/>
          <w:szCs w:val="24"/>
        </w:rPr>
        <w:t xml:space="preserve">Bruce Rosenstock, “Against sovereign impunity: the political theology of the International Criminal Court,” in Winnifred Fallers Sullivan, Robert A. Yelle, and Mateo Taussig-Rubbo (eds) </w:t>
      </w:r>
      <w:r w:rsidRPr="00AF3EF2">
        <w:rPr>
          <w:rFonts w:eastAsiaTheme="minorHAnsi"/>
          <w:i/>
          <w:sz w:val="24"/>
          <w:szCs w:val="24"/>
        </w:rPr>
        <w:t>After Secular Law</w:t>
      </w:r>
      <w:r>
        <w:rPr>
          <w:rFonts w:eastAsiaTheme="minorHAnsi"/>
          <w:sz w:val="24"/>
          <w:szCs w:val="24"/>
        </w:rPr>
        <w:t xml:space="preserve"> (Stanford: Stanford University Press, 2011), pp. 160-177.</w:t>
      </w:r>
    </w:p>
    <w:p w14:paraId="76E9CEE9" w14:textId="77777777" w:rsidR="00F853AD" w:rsidRPr="00B11AB7" w:rsidRDefault="00F853AD" w:rsidP="001454D0">
      <w:pPr>
        <w:rPr>
          <w:sz w:val="24"/>
          <w:szCs w:val="24"/>
        </w:rPr>
      </w:pPr>
    </w:p>
    <w:p w14:paraId="4C3E9035" w14:textId="50ACFAD4" w:rsidR="00676EC7" w:rsidRDefault="00461F6A" w:rsidP="00753069">
      <w:pPr>
        <w:ind w:left="1440" w:hanging="1440"/>
        <w:rPr>
          <w:sz w:val="24"/>
          <w:szCs w:val="24"/>
        </w:rPr>
      </w:pPr>
      <w:r w:rsidRPr="00B11AB7">
        <w:rPr>
          <w:sz w:val="24"/>
          <w:szCs w:val="24"/>
          <w:u w:val="single"/>
        </w:rPr>
        <w:t>Feb. 22</w:t>
      </w:r>
      <w:r w:rsidR="00994210" w:rsidRPr="00B11AB7">
        <w:rPr>
          <w:sz w:val="24"/>
          <w:szCs w:val="24"/>
        </w:rPr>
        <w:t xml:space="preserve">: </w:t>
      </w:r>
      <w:r w:rsidR="00994210" w:rsidRPr="00B11AB7">
        <w:rPr>
          <w:sz w:val="24"/>
          <w:szCs w:val="24"/>
        </w:rPr>
        <w:tab/>
      </w:r>
      <w:r w:rsidR="005F29CB">
        <w:rPr>
          <w:sz w:val="24"/>
          <w:szCs w:val="24"/>
        </w:rPr>
        <w:t xml:space="preserve">Across the border, beyond the law? </w:t>
      </w:r>
      <w:r w:rsidR="00676EC7" w:rsidRPr="00B11AB7">
        <w:rPr>
          <w:sz w:val="24"/>
          <w:szCs w:val="24"/>
        </w:rPr>
        <w:t>Extraterritoriality and the globalization of jurisdiction</w:t>
      </w:r>
      <w:r w:rsidR="002162B6">
        <w:rPr>
          <w:sz w:val="24"/>
          <w:szCs w:val="24"/>
        </w:rPr>
        <w:t xml:space="preserve"> </w:t>
      </w:r>
    </w:p>
    <w:p w14:paraId="171F6C83" w14:textId="77777777" w:rsidR="00753069" w:rsidRPr="00B11AB7" w:rsidRDefault="00753069" w:rsidP="00753069">
      <w:pPr>
        <w:ind w:left="1440" w:hanging="1440"/>
        <w:rPr>
          <w:sz w:val="24"/>
          <w:szCs w:val="24"/>
        </w:rPr>
      </w:pPr>
    </w:p>
    <w:p w14:paraId="47BE55B0" w14:textId="6B89BD0B" w:rsidR="004920CF" w:rsidRDefault="004920CF" w:rsidP="00F47D23">
      <w:pPr>
        <w:ind w:left="1440"/>
        <w:rPr>
          <w:sz w:val="24"/>
          <w:szCs w:val="24"/>
        </w:rPr>
      </w:pPr>
      <w:r>
        <w:rPr>
          <w:sz w:val="24"/>
          <w:szCs w:val="24"/>
        </w:rPr>
        <w:t xml:space="preserve">Nicholas Schmidle, “Disarming Viktor Bout: The rise and fall of the world’s most notorious weapons trafficker.” </w:t>
      </w:r>
      <w:r w:rsidRPr="004920CF">
        <w:rPr>
          <w:i/>
          <w:sz w:val="24"/>
          <w:szCs w:val="24"/>
        </w:rPr>
        <w:t>The New Yorker</w:t>
      </w:r>
      <w:r>
        <w:rPr>
          <w:sz w:val="24"/>
          <w:szCs w:val="24"/>
        </w:rPr>
        <w:t xml:space="preserve"> (March 5, 2012). </w:t>
      </w:r>
    </w:p>
    <w:p w14:paraId="6BEA1E12" w14:textId="77777777" w:rsidR="004920CF" w:rsidRDefault="004920CF" w:rsidP="00F47D23">
      <w:pPr>
        <w:ind w:left="1440"/>
        <w:rPr>
          <w:sz w:val="24"/>
          <w:szCs w:val="24"/>
        </w:rPr>
      </w:pPr>
    </w:p>
    <w:p w14:paraId="654AD877" w14:textId="7B754D51" w:rsidR="00636606" w:rsidRDefault="00676EC7" w:rsidP="00F47D23">
      <w:pPr>
        <w:ind w:left="1440"/>
        <w:rPr>
          <w:sz w:val="24"/>
          <w:szCs w:val="24"/>
        </w:rPr>
      </w:pPr>
      <w:r w:rsidRPr="00B11AB7">
        <w:rPr>
          <w:sz w:val="24"/>
          <w:szCs w:val="24"/>
        </w:rPr>
        <w:t xml:space="preserve">Raustiala, </w:t>
      </w:r>
      <w:r w:rsidRPr="00B11AB7">
        <w:rPr>
          <w:i/>
          <w:sz w:val="24"/>
          <w:szCs w:val="24"/>
        </w:rPr>
        <w:t>Does the Constitution Follow the Flag?</w:t>
      </w:r>
      <w:r w:rsidR="00753069">
        <w:rPr>
          <w:sz w:val="24"/>
          <w:szCs w:val="24"/>
        </w:rPr>
        <w:t>, Preface,  Chs. 1, 4-</w:t>
      </w:r>
      <w:r w:rsidRPr="00B11AB7">
        <w:rPr>
          <w:sz w:val="24"/>
          <w:szCs w:val="24"/>
        </w:rPr>
        <w:t>8 (pp. v-vii; 3-30; 93-155).</w:t>
      </w:r>
    </w:p>
    <w:p w14:paraId="68B417E5" w14:textId="366F0BF8" w:rsidR="00994210" w:rsidRPr="00B11AB7" w:rsidRDefault="00994210" w:rsidP="00753069">
      <w:pPr>
        <w:pStyle w:val="BodyText"/>
        <w:rPr>
          <w:szCs w:val="24"/>
        </w:rPr>
      </w:pPr>
    </w:p>
    <w:p w14:paraId="01099B60" w14:textId="6A091D38" w:rsidR="001454D0" w:rsidRPr="00B11AB7" w:rsidRDefault="00461F6A" w:rsidP="001454D0">
      <w:pPr>
        <w:ind w:left="1440" w:hanging="1440"/>
        <w:rPr>
          <w:sz w:val="24"/>
          <w:szCs w:val="24"/>
        </w:rPr>
      </w:pPr>
      <w:r w:rsidRPr="00B11AB7">
        <w:rPr>
          <w:sz w:val="24"/>
          <w:szCs w:val="24"/>
          <w:u w:val="single"/>
        </w:rPr>
        <w:t>Feb. 27</w:t>
      </w:r>
      <w:r w:rsidR="00994210" w:rsidRPr="00B11AB7">
        <w:rPr>
          <w:sz w:val="24"/>
          <w:szCs w:val="24"/>
          <w:u w:val="single"/>
        </w:rPr>
        <w:t>:</w:t>
      </w:r>
      <w:r w:rsidR="00994210" w:rsidRPr="00B11AB7">
        <w:rPr>
          <w:sz w:val="24"/>
          <w:szCs w:val="24"/>
        </w:rPr>
        <w:tab/>
      </w:r>
      <w:r w:rsidR="001454D0" w:rsidRPr="00B11AB7">
        <w:rPr>
          <w:b/>
          <w:sz w:val="24"/>
          <w:szCs w:val="24"/>
        </w:rPr>
        <w:t xml:space="preserve"> </w:t>
      </w:r>
      <w:r w:rsidR="00AE4D56" w:rsidRPr="00B11AB7">
        <w:rPr>
          <w:sz w:val="24"/>
          <w:szCs w:val="24"/>
        </w:rPr>
        <w:t>P</w:t>
      </w:r>
      <w:r w:rsidR="00DE6D5A" w:rsidRPr="00B11AB7">
        <w:rPr>
          <w:sz w:val="24"/>
          <w:szCs w:val="24"/>
        </w:rPr>
        <w:t>olitics of humanitarianism</w:t>
      </w:r>
    </w:p>
    <w:p w14:paraId="522CAD76" w14:textId="77777777" w:rsidR="00900E51" w:rsidRPr="00B11AB7" w:rsidRDefault="00900E51" w:rsidP="0078151C">
      <w:pPr>
        <w:pStyle w:val="BodyText"/>
        <w:rPr>
          <w:szCs w:val="24"/>
        </w:rPr>
      </w:pPr>
    </w:p>
    <w:p w14:paraId="170767C7" w14:textId="5846106A" w:rsidR="00994210" w:rsidRPr="00B11AB7" w:rsidRDefault="00DE6D5A" w:rsidP="00DE6D5A">
      <w:pPr>
        <w:pStyle w:val="BodyText"/>
        <w:ind w:left="1440"/>
        <w:rPr>
          <w:szCs w:val="24"/>
        </w:rPr>
      </w:pPr>
      <w:r w:rsidRPr="00B11AB7">
        <w:rPr>
          <w:szCs w:val="24"/>
        </w:rPr>
        <w:t xml:space="preserve">Michael Barnett and Thomas G. Weiss, “Humanitarianism: A Brief History of the Present,” in </w:t>
      </w:r>
      <w:r w:rsidRPr="00B11AB7">
        <w:rPr>
          <w:i/>
          <w:szCs w:val="24"/>
        </w:rPr>
        <w:t>Humanitarianism in Question: Politics, Power, Ethics</w:t>
      </w:r>
      <w:r w:rsidRPr="00B11AB7">
        <w:rPr>
          <w:szCs w:val="24"/>
        </w:rPr>
        <w:t>, Barnett and Weiss, eds. Ithaca: Cornell University Press, 2008, pp. 1-48.</w:t>
      </w:r>
    </w:p>
    <w:p w14:paraId="12F09A10" w14:textId="77777777" w:rsidR="00DE6D5A" w:rsidRPr="00B11AB7" w:rsidRDefault="00DE6D5A" w:rsidP="00DE6D5A">
      <w:pPr>
        <w:pStyle w:val="BodyText"/>
        <w:ind w:left="1440"/>
        <w:rPr>
          <w:szCs w:val="24"/>
        </w:rPr>
      </w:pPr>
    </w:p>
    <w:p w14:paraId="4B33F742" w14:textId="724809CD" w:rsidR="007F2128" w:rsidRDefault="00753069" w:rsidP="00DE6D5A">
      <w:pPr>
        <w:pStyle w:val="BodyText"/>
        <w:ind w:left="1440"/>
        <w:rPr>
          <w:szCs w:val="24"/>
        </w:rPr>
      </w:pPr>
      <w:r>
        <w:rPr>
          <w:szCs w:val="24"/>
        </w:rPr>
        <w:t>Miriam Ticktin,</w:t>
      </w:r>
      <w:r w:rsidR="007F2128">
        <w:rPr>
          <w:szCs w:val="24"/>
        </w:rPr>
        <w:t xml:space="preserve"> “Where ethics and politics meet: the violen</w:t>
      </w:r>
      <w:r w:rsidR="00E015E8">
        <w:rPr>
          <w:szCs w:val="24"/>
        </w:rPr>
        <w:t>ce of humanitarianism in France.</w:t>
      </w:r>
      <w:r w:rsidR="007F2128">
        <w:rPr>
          <w:szCs w:val="24"/>
        </w:rPr>
        <w:t xml:space="preserve">” </w:t>
      </w:r>
      <w:r w:rsidR="007F2128" w:rsidRPr="007F2128">
        <w:rPr>
          <w:i/>
          <w:szCs w:val="24"/>
        </w:rPr>
        <w:t>American Ethnologist</w:t>
      </w:r>
      <w:r w:rsidR="007F2128">
        <w:rPr>
          <w:szCs w:val="24"/>
        </w:rPr>
        <w:t xml:space="preserve"> 33, no. 1 (2006): 33-49.</w:t>
      </w:r>
    </w:p>
    <w:p w14:paraId="23A171ED" w14:textId="77777777" w:rsidR="007F2128" w:rsidRDefault="007F2128" w:rsidP="00DE6D5A">
      <w:pPr>
        <w:pStyle w:val="BodyText"/>
        <w:ind w:left="1440"/>
        <w:rPr>
          <w:szCs w:val="24"/>
        </w:rPr>
      </w:pPr>
    </w:p>
    <w:p w14:paraId="33530C57" w14:textId="056F7570" w:rsidR="00DE6D5A" w:rsidRPr="00B11AB7" w:rsidRDefault="00DE6D5A" w:rsidP="00DE6D5A">
      <w:pPr>
        <w:pStyle w:val="BodyText"/>
        <w:ind w:left="1440"/>
        <w:rPr>
          <w:szCs w:val="24"/>
        </w:rPr>
      </w:pPr>
      <w:r w:rsidRPr="00B11AB7">
        <w:rPr>
          <w:szCs w:val="24"/>
        </w:rPr>
        <w:t xml:space="preserve">Rosemary R. Hicks, “Saving Darfur: Enacting Pluralism in Terms of Gender, Genocide, and Militarized Human Rights,” in </w:t>
      </w:r>
      <w:r w:rsidRPr="00B11AB7">
        <w:rPr>
          <w:i/>
          <w:szCs w:val="24"/>
        </w:rPr>
        <w:t>After Pluralism: Reimagining Religious Engagement</w:t>
      </w:r>
      <w:r w:rsidRPr="00B11AB7">
        <w:rPr>
          <w:szCs w:val="24"/>
        </w:rPr>
        <w:t xml:space="preserve">, Courtney Bender &amp; Pamela E. Klassen, eds., New York: Columbia University Press, </w:t>
      </w:r>
      <w:r w:rsidR="004E36C2">
        <w:rPr>
          <w:szCs w:val="24"/>
        </w:rPr>
        <w:t xml:space="preserve">2010, </w:t>
      </w:r>
      <w:r w:rsidRPr="00B11AB7">
        <w:rPr>
          <w:szCs w:val="24"/>
        </w:rPr>
        <w:t>pp. 252-276.</w:t>
      </w:r>
    </w:p>
    <w:p w14:paraId="7E4FBFD5" w14:textId="34E4E5A2" w:rsidR="00DE6D5A" w:rsidRPr="00B11AB7" w:rsidRDefault="00DE6D5A" w:rsidP="00994210">
      <w:pPr>
        <w:pStyle w:val="BodyText"/>
        <w:rPr>
          <w:b/>
          <w:szCs w:val="24"/>
        </w:rPr>
      </w:pPr>
      <w:r w:rsidRPr="00B11AB7">
        <w:rPr>
          <w:b/>
          <w:szCs w:val="24"/>
        </w:rPr>
        <w:tab/>
      </w:r>
      <w:r w:rsidRPr="00B11AB7">
        <w:rPr>
          <w:b/>
          <w:szCs w:val="24"/>
        </w:rPr>
        <w:tab/>
      </w:r>
    </w:p>
    <w:p w14:paraId="7B1B3150" w14:textId="3246DA2A" w:rsidR="0078151C" w:rsidRPr="00B11AB7" w:rsidRDefault="00D12DDD" w:rsidP="0078151C">
      <w:pPr>
        <w:ind w:left="1440" w:hanging="1440"/>
        <w:rPr>
          <w:b/>
          <w:sz w:val="24"/>
          <w:szCs w:val="24"/>
        </w:rPr>
      </w:pPr>
      <w:r w:rsidRPr="00B11AB7">
        <w:rPr>
          <w:sz w:val="24"/>
          <w:szCs w:val="24"/>
          <w:u w:val="single"/>
        </w:rPr>
        <w:t>Feb. 29</w:t>
      </w:r>
      <w:r w:rsidR="00994210" w:rsidRPr="00B11AB7">
        <w:rPr>
          <w:sz w:val="24"/>
          <w:szCs w:val="24"/>
        </w:rPr>
        <w:t>:</w:t>
      </w:r>
      <w:r w:rsidR="00994210" w:rsidRPr="00B11AB7">
        <w:rPr>
          <w:b/>
          <w:sz w:val="24"/>
          <w:szCs w:val="24"/>
        </w:rPr>
        <w:t xml:space="preserve"> </w:t>
      </w:r>
      <w:r w:rsidR="00994210" w:rsidRPr="00B11AB7">
        <w:rPr>
          <w:b/>
          <w:sz w:val="24"/>
          <w:szCs w:val="24"/>
        </w:rPr>
        <w:tab/>
      </w:r>
      <w:r w:rsidR="00CB2C5F">
        <w:rPr>
          <w:sz w:val="24"/>
          <w:szCs w:val="24"/>
        </w:rPr>
        <w:t>Politics of intervention</w:t>
      </w:r>
      <w:r w:rsidR="00753069">
        <w:rPr>
          <w:sz w:val="24"/>
          <w:szCs w:val="24"/>
        </w:rPr>
        <w:t xml:space="preserve"> and </w:t>
      </w:r>
      <w:r w:rsidR="000521D3">
        <w:rPr>
          <w:sz w:val="24"/>
          <w:szCs w:val="24"/>
        </w:rPr>
        <w:t>t</w:t>
      </w:r>
      <w:r w:rsidR="008F1F9C" w:rsidRPr="00B11AB7">
        <w:rPr>
          <w:sz w:val="24"/>
          <w:szCs w:val="24"/>
        </w:rPr>
        <w:t xml:space="preserve">he internationalization of </w:t>
      </w:r>
      <w:r w:rsidR="000521D3">
        <w:rPr>
          <w:sz w:val="24"/>
          <w:szCs w:val="24"/>
        </w:rPr>
        <w:t>conflict</w:t>
      </w:r>
    </w:p>
    <w:p w14:paraId="31156622" w14:textId="64430B73" w:rsidR="00994210" w:rsidRPr="00B11AB7" w:rsidRDefault="00994210" w:rsidP="0078151C">
      <w:pPr>
        <w:pStyle w:val="BodyText"/>
        <w:rPr>
          <w:szCs w:val="24"/>
        </w:rPr>
      </w:pPr>
    </w:p>
    <w:p w14:paraId="01FF371E" w14:textId="785EB537" w:rsidR="00DE6D5A" w:rsidRPr="00B11AB7" w:rsidRDefault="00DE6D5A" w:rsidP="00DE6D5A">
      <w:pPr>
        <w:ind w:left="1440"/>
        <w:rPr>
          <w:color w:val="262626"/>
          <w:sz w:val="24"/>
          <w:szCs w:val="24"/>
        </w:rPr>
      </w:pPr>
      <w:r w:rsidRPr="00B11AB7">
        <w:rPr>
          <w:color w:val="262626"/>
          <w:sz w:val="24"/>
          <w:szCs w:val="24"/>
        </w:rPr>
        <w:t xml:space="preserve">Robert O’Harrow Jr., James V. Grimaldi and </w:t>
      </w:r>
      <w:hyperlink r:id="rId12" w:history="1">
        <w:r w:rsidRPr="00B11AB7">
          <w:rPr>
            <w:sz w:val="24"/>
            <w:szCs w:val="24"/>
          </w:rPr>
          <w:t>Brady Dennis</w:t>
        </w:r>
      </w:hyperlink>
      <w:r w:rsidRPr="00B11AB7">
        <w:rPr>
          <w:color w:val="262626"/>
          <w:sz w:val="24"/>
          <w:szCs w:val="24"/>
        </w:rPr>
        <w:t xml:space="preserve">, “Sanctions in 72 hours: How the U.S. pulled off a major freeze of Libyan assets” </w:t>
      </w:r>
      <w:r w:rsidRPr="00B11AB7">
        <w:rPr>
          <w:i/>
          <w:color w:val="262626"/>
          <w:sz w:val="24"/>
          <w:szCs w:val="24"/>
        </w:rPr>
        <w:t>The Washington Post</w:t>
      </w:r>
      <w:r w:rsidRPr="00B11AB7">
        <w:rPr>
          <w:color w:val="262626"/>
          <w:sz w:val="24"/>
          <w:szCs w:val="24"/>
        </w:rPr>
        <w:t xml:space="preserve"> (March 23, 2011).</w:t>
      </w:r>
    </w:p>
    <w:p w14:paraId="36F22AFB" w14:textId="77777777" w:rsidR="00DE6D5A" w:rsidRPr="00B11AB7" w:rsidRDefault="00DE6D5A" w:rsidP="00DE6D5A">
      <w:pPr>
        <w:ind w:left="720"/>
        <w:rPr>
          <w:sz w:val="24"/>
          <w:szCs w:val="24"/>
        </w:rPr>
      </w:pPr>
    </w:p>
    <w:p w14:paraId="03679D30" w14:textId="77777777" w:rsidR="00DE6D5A" w:rsidRPr="00B11AB7" w:rsidRDefault="00A97249" w:rsidP="00DE6D5A">
      <w:pPr>
        <w:ind w:left="1440"/>
        <w:rPr>
          <w:sz w:val="24"/>
          <w:szCs w:val="24"/>
        </w:rPr>
      </w:pPr>
      <w:hyperlink r:id="rId13" w:history="1">
        <w:r w:rsidR="00DE6D5A" w:rsidRPr="00B11AB7">
          <w:rPr>
            <w:color w:val="550D0B"/>
            <w:sz w:val="24"/>
            <w:szCs w:val="24"/>
          </w:rPr>
          <w:t>Ayça Çubukçu</w:t>
        </w:r>
      </w:hyperlink>
      <w:r w:rsidR="00DE6D5A" w:rsidRPr="00B11AB7">
        <w:rPr>
          <w:sz w:val="24"/>
          <w:szCs w:val="24"/>
        </w:rPr>
        <w:t xml:space="preserve">, “Killing in the Name of: Libya, Sovereignty, Humanity,” </w:t>
      </w:r>
      <w:r w:rsidR="00DE6D5A" w:rsidRPr="00B11AB7">
        <w:rPr>
          <w:i/>
          <w:sz w:val="24"/>
          <w:szCs w:val="24"/>
        </w:rPr>
        <w:t>Jadaliyya</w:t>
      </w:r>
      <w:r w:rsidR="00DE6D5A" w:rsidRPr="00B11AB7">
        <w:rPr>
          <w:sz w:val="24"/>
          <w:szCs w:val="24"/>
        </w:rPr>
        <w:t>, March 11, 2011. http://www.jadaliyya.com/pages/index/870/killing-in-the-name-of_libya-sovereignty-humanity</w:t>
      </w:r>
    </w:p>
    <w:p w14:paraId="3905F5EE" w14:textId="77777777" w:rsidR="00DE6D5A" w:rsidRPr="00B11AB7" w:rsidRDefault="00DE6D5A" w:rsidP="00DE6D5A">
      <w:pPr>
        <w:ind w:left="720"/>
        <w:rPr>
          <w:sz w:val="24"/>
          <w:szCs w:val="24"/>
        </w:rPr>
      </w:pPr>
    </w:p>
    <w:p w14:paraId="34B88DD8" w14:textId="77777777" w:rsidR="00DE6D5A" w:rsidRPr="00B11AB7" w:rsidRDefault="00DE6D5A" w:rsidP="00DE6D5A">
      <w:pPr>
        <w:ind w:left="1440"/>
        <w:rPr>
          <w:sz w:val="24"/>
          <w:szCs w:val="24"/>
        </w:rPr>
      </w:pPr>
      <w:r w:rsidRPr="00B11AB7">
        <w:rPr>
          <w:sz w:val="24"/>
          <w:szCs w:val="24"/>
        </w:rPr>
        <w:t xml:space="preserve">The Editors, “Of Principle and Peril,” </w:t>
      </w:r>
      <w:r w:rsidRPr="00B11AB7">
        <w:rPr>
          <w:i/>
          <w:sz w:val="24"/>
          <w:szCs w:val="24"/>
        </w:rPr>
        <w:t>Middle East Report</w:t>
      </w:r>
      <w:r w:rsidRPr="00B11AB7">
        <w:rPr>
          <w:sz w:val="24"/>
          <w:szCs w:val="24"/>
        </w:rPr>
        <w:t>, March 22, 2011.</w:t>
      </w:r>
    </w:p>
    <w:p w14:paraId="27265DE7" w14:textId="77777777" w:rsidR="00DE6D5A" w:rsidRPr="00B11AB7" w:rsidRDefault="00DE6D5A" w:rsidP="00DE6D5A">
      <w:pPr>
        <w:ind w:left="1440" w:hanging="720"/>
        <w:rPr>
          <w:sz w:val="24"/>
          <w:szCs w:val="24"/>
        </w:rPr>
      </w:pPr>
    </w:p>
    <w:p w14:paraId="05ED36DF" w14:textId="77777777" w:rsidR="00DE6D5A" w:rsidRPr="00B11AB7" w:rsidRDefault="00DE6D5A" w:rsidP="00DE6D5A">
      <w:pPr>
        <w:ind w:left="1440"/>
        <w:rPr>
          <w:sz w:val="24"/>
          <w:szCs w:val="24"/>
        </w:rPr>
      </w:pPr>
      <w:r w:rsidRPr="00B11AB7">
        <w:rPr>
          <w:sz w:val="24"/>
          <w:szCs w:val="24"/>
        </w:rPr>
        <w:t xml:space="preserve">Hisham Matar, “Two Revolutions,” </w:t>
      </w:r>
      <w:r w:rsidRPr="00B11AB7">
        <w:rPr>
          <w:i/>
          <w:sz w:val="24"/>
          <w:szCs w:val="24"/>
        </w:rPr>
        <w:t>The New Yorker</w:t>
      </w:r>
      <w:r w:rsidRPr="00B11AB7">
        <w:rPr>
          <w:sz w:val="24"/>
          <w:szCs w:val="24"/>
        </w:rPr>
        <w:t xml:space="preserve">, Sept. 5, 2011. </w:t>
      </w:r>
    </w:p>
    <w:p w14:paraId="1CFBEC90" w14:textId="009C29E0" w:rsidR="00994210" w:rsidRPr="00B11AB7" w:rsidRDefault="00994210" w:rsidP="00994210">
      <w:pPr>
        <w:pStyle w:val="BodyText"/>
        <w:ind w:left="1440" w:hanging="1440"/>
        <w:rPr>
          <w:szCs w:val="24"/>
        </w:rPr>
      </w:pPr>
    </w:p>
    <w:p w14:paraId="07AF0B5C" w14:textId="41ECD131" w:rsidR="00994210" w:rsidRPr="00B11AB7" w:rsidRDefault="00461F6A" w:rsidP="00994210">
      <w:pPr>
        <w:pStyle w:val="BodyText"/>
        <w:ind w:left="1440" w:hanging="1440"/>
        <w:rPr>
          <w:szCs w:val="24"/>
        </w:rPr>
      </w:pPr>
      <w:r w:rsidRPr="00B11AB7">
        <w:rPr>
          <w:szCs w:val="24"/>
          <w:u w:val="single"/>
        </w:rPr>
        <w:t>March 5</w:t>
      </w:r>
      <w:r w:rsidR="00994210" w:rsidRPr="00B11AB7">
        <w:rPr>
          <w:szCs w:val="24"/>
        </w:rPr>
        <w:t>:</w:t>
      </w:r>
      <w:r w:rsidR="00994210" w:rsidRPr="00B11AB7">
        <w:rPr>
          <w:szCs w:val="24"/>
        </w:rPr>
        <w:tab/>
      </w:r>
      <w:r w:rsidR="0078151C" w:rsidRPr="00B11AB7">
        <w:rPr>
          <w:szCs w:val="24"/>
        </w:rPr>
        <w:t xml:space="preserve">The US and the </w:t>
      </w:r>
      <w:r w:rsidR="00DE6D5A" w:rsidRPr="00B11AB7">
        <w:rPr>
          <w:szCs w:val="24"/>
        </w:rPr>
        <w:t>Middle East and North African</w:t>
      </w:r>
      <w:r w:rsidR="0078151C" w:rsidRPr="00B11AB7">
        <w:rPr>
          <w:szCs w:val="24"/>
        </w:rPr>
        <w:t xml:space="preserve"> </w:t>
      </w:r>
      <w:r w:rsidR="00163010" w:rsidRPr="00B11AB7">
        <w:rPr>
          <w:szCs w:val="24"/>
        </w:rPr>
        <w:t>revolts</w:t>
      </w:r>
    </w:p>
    <w:p w14:paraId="56459E1B" w14:textId="12F3B4B4" w:rsidR="00994210" w:rsidRPr="00B11AB7" w:rsidRDefault="00994210" w:rsidP="00994210">
      <w:pPr>
        <w:rPr>
          <w:sz w:val="24"/>
          <w:szCs w:val="24"/>
        </w:rPr>
      </w:pPr>
    </w:p>
    <w:p w14:paraId="2A680E3F" w14:textId="6FAFD4D2" w:rsidR="00DE6D5A" w:rsidRPr="00D74444" w:rsidRDefault="00DE6D5A" w:rsidP="00DE6D5A">
      <w:pPr>
        <w:ind w:left="1440"/>
        <w:rPr>
          <w:sz w:val="24"/>
          <w:szCs w:val="24"/>
        </w:rPr>
      </w:pPr>
      <w:r w:rsidRPr="00D74444">
        <w:rPr>
          <w:sz w:val="24"/>
          <w:szCs w:val="24"/>
        </w:rPr>
        <w:t>Robert Springborg, “US Response to Arab Upheavals: Challenges and Prior</w:t>
      </w:r>
      <w:r w:rsidR="00D74444" w:rsidRPr="00D74444">
        <w:rPr>
          <w:sz w:val="24"/>
          <w:szCs w:val="24"/>
        </w:rPr>
        <w:t xml:space="preserve">ities,” Paper presented at the </w:t>
      </w:r>
      <w:r w:rsidR="00D74444" w:rsidRPr="00636606">
        <w:rPr>
          <w:i/>
          <w:sz w:val="24"/>
          <w:szCs w:val="24"/>
        </w:rPr>
        <w:t>2011 Transatlantic Security Symposium</w:t>
      </w:r>
      <w:r w:rsidR="00D74444" w:rsidRPr="00D74444">
        <w:rPr>
          <w:sz w:val="24"/>
          <w:szCs w:val="24"/>
        </w:rPr>
        <w:t xml:space="preserve"> “Rethinking Western Policies in Light of the Arab Uprising.” Rome, 12 September 2011.</w:t>
      </w:r>
    </w:p>
    <w:p w14:paraId="47D66E3C" w14:textId="77777777" w:rsidR="00DE6D5A" w:rsidRPr="00B11AB7" w:rsidRDefault="00DE6D5A" w:rsidP="00DE6D5A">
      <w:pPr>
        <w:ind w:left="720"/>
        <w:rPr>
          <w:sz w:val="24"/>
          <w:szCs w:val="24"/>
        </w:rPr>
      </w:pPr>
    </w:p>
    <w:p w14:paraId="337D1B2D" w14:textId="77777777" w:rsidR="00DE6D5A" w:rsidRPr="00B11AB7" w:rsidRDefault="00DE6D5A" w:rsidP="00DE6D5A">
      <w:pPr>
        <w:ind w:left="1440"/>
        <w:rPr>
          <w:sz w:val="24"/>
          <w:szCs w:val="24"/>
        </w:rPr>
      </w:pPr>
      <w:r w:rsidRPr="00B11AB7">
        <w:rPr>
          <w:sz w:val="24"/>
          <w:szCs w:val="24"/>
        </w:rPr>
        <w:t xml:space="preserve">Paul Amar, “Why Mubarak is Out,” </w:t>
      </w:r>
      <w:r w:rsidRPr="00B11AB7">
        <w:rPr>
          <w:i/>
          <w:sz w:val="24"/>
          <w:szCs w:val="24"/>
        </w:rPr>
        <w:t>Jadaliyya</w:t>
      </w:r>
      <w:r w:rsidRPr="00B11AB7">
        <w:rPr>
          <w:sz w:val="24"/>
          <w:szCs w:val="24"/>
        </w:rPr>
        <w:t xml:space="preserve"> (Feb. 1, 2011). </w:t>
      </w:r>
    </w:p>
    <w:p w14:paraId="61886922" w14:textId="77777777" w:rsidR="00DE6D5A" w:rsidRPr="00B11AB7" w:rsidRDefault="00DE6D5A" w:rsidP="00DE6D5A">
      <w:pPr>
        <w:ind w:left="720"/>
        <w:rPr>
          <w:sz w:val="24"/>
          <w:szCs w:val="24"/>
        </w:rPr>
      </w:pPr>
    </w:p>
    <w:p w14:paraId="3E12C2B8" w14:textId="084FDC07" w:rsidR="00DE6D5A" w:rsidRPr="00B11AB7" w:rsidRDefault="00DE6D5A" w:rsidP="00DE6D5A">
      <w:pPr>
        <w:ind w:left="1440"/>
        <w:rPr>
          <w:sz w:val="24"/>
          <w:szCs w:val="24"/>
        </w:rPr>
      </w:pPr>
      <w:r w:rsidRPr="00B11AB7">
        <w:rPr>
          <w:sz w:val="24"/>
          <w:szCs w:val="24"/>
        </w:rPr>
        <w:t xml:space="preserve">Asef Bayat, “The Post-Islamist Revolutions,” </w:t>
      </w:r>
      <w:r w:rsidRPr="00B11AB7">
        <w:rPr>
          <w:i/>
          <w:sz w:val="24"/>
          <w:szCs w:val="24"/>
        </w:rPr>
        <w:t>Foreign Affairs</w:t>
      </w:r>
      <w:r w:rsidRPr="00B11AB7">
        <w:rPr>
          <w:sz w:val="24"/>
          <w:szCs w:val="24"/>
        </w:rPr>
        <w:t xml:space="preserve"> (April 26, 2011). </w:t>
      </w:r>
    </w:p>
    <w:p w14:paraId="016D8817" w14:textId="77777777" w:rsidR="00DE6D5A" w:rsidRPr="00B11AB7" w:rsidRDefault="00DE6D5A" w:rsidP="00DE6D5A">
      <w:pPr>
        <w:rPr>
          <w:sz w:val="24"/>
          <w:szCs w:val="24"/>
        </w:rPr>
      </w:pPr>
    </w:p>
    <w:p w14:paraId="620A7FD1" w14:textId="77777777" w:rsidR="00DE6D5A" w:rsidRPr="00B11AB7" w:rsidRDefault="00DE6D5A" w:rsidP="00DE6D5A">
      <w:pPr>
        <w:ind w:left="1440"/>
        <w:rPr>
          <w:sz w:val="24"/>
          <w:szCs w:val="24"/>
        </w:rPr>
      </w:pPr>
      <w:r w:rsidRPr="00B11AB7">
        <w:rPr>
          <w:sz w:val="24"/>
          <w:szCs w:val="24"/>
        </w:rPr>
        <w:t xml:space="preserve">Charles Hirschkind, 2010. “New Media and Political Dissent in Egypt,” </w:t>
      </w:r>
      <w:r w:rsidRPr="00B11AB7">
        <w:rPr>
          <w:i/>
          <w:sz w:val="24"/>
          <w:szCs w:val="24"/>
        </w:rPr>
        <w:t>Revista de Dialectología y Tradiciones Populares</w:t>
      </w:r>
      <w:r w:rsidRPr="00B11AB7">
        <w:rPr>
          <w:sz w:val="24"/>
          <w:szCs w:val="24"/>
        </w:rPr>
        <w:t>, vol. LXV, no. 1 (January-June): 137-154.</w:t>
      </w:r>
    </w:p>
    <w:p w14:paraId="47CF54B7" w14:textId="77777777" w:rsidR="00994210" w:rsidRPr="00B11AB7" w:rsidRDefault="00994210" w:rsidP="00994210">
      <w:pPr>
        <w:rPr>
          <w:sz w:val="24"/>
          <w:szCs w:val="24"/>
          <w:u w:val="single"/>
        </w:rPr>
      </w:pPr>
    </w:p>
    <w:p w14:paraId="77F1C153" w14:textId="20477889" w:rsidR="00994210" w:rsidRDefault="00461F6A" w:rsidP="00994210">
      <w:pPr>
        <w:rPr>
          <w:sz w:val="24"/>
          <w:szCs w:val="24"/>
        </w:rPr>
      </w:pPr>
      <w:r w:rsidRPr="00B11AB7">
        <w:rPr>
          <w:sz w:val="24"/>
          <w:szCs w:val="24"/>
          <w:u w:val="single"/>
        </w:rPr>
        <w:t>March 7</w:t>
      </w:r>
      <w:r w:rsidR="00994210" w:rsidRPr="00B11AB7">
        <w:rPr>
          <w:sz w:val="24"/>
          <w:szCs w:val="24"/>
        </w:rPr>
        <w:t>:</w:t>
      </w:r>
      <w:r w:rsidR="00994210" w:rsidRPr="00B11AB7">
        <w:rPr>
          <w:sz w:val="24"/>
          <w:szCs w:val="24"/>
        </w:rPr>
        <w:tab/>
        <w:t>WCAS reading week. No class.</w:t>
      </w:r>
    </w:p>
    <w:p w14:paraId="632C5C1D" w14:textId="77777777" w:rsidR="00753069" w:rsidRPr="00B11AB7" w:rsidRDefault="00753069" w:rsidP="00994210">
      <w:pPr>
        <w:rPr>
          <w:sz w:val="24"/>
          <w:szCs w:val="24"/>
        </w:rPr>
      </w:pPr>
    </w:p>
    <w:p w14:paraId="61374E86" w14:textId="77777777" w:rsidR="00994210" w:rsidRPr="00B11AB7" w:rsidRDefault="00994210" w:rsidP="004D5EB9">
      <w:pPr>
        <w:rPr>
          <w:b/>
          <w:sz w:val="24"/>
          <w:szCs w:val="24"/>
        </w:rPr>
      </w:pPr>
    </w:p>
    <w:p w14:paraId="4B57F4A8" w14:textId="67034700" w:rsidR="00A97B35" w:rsidRPr="00B11AB7" w:rsidRDefault="00673B6B" w:rsidP="00A97B35">
      <w:pPr>
        <w:rPr>
          <w:b/>
          <w:sz w:val="24"/>
          <w:szCs w:val="24"/>
        </w:rPr>
      </w:pPr>
      <w:r>
        <w:rPr>
          <w:b/>
          <w:sz w:val="24"/>
          <w:szCs w:val="24"/>
        </w:rPr>
        <w:t>Final Take-Home E</w:t>
      </w:r>
      <w:r w:rsidR="00636606" w:rsidRPr="00673B6B">
        <w:rPr>
          <w:b/>
          <w:sz w:val="24"/>
          <w:szCs w:val="24"/>
        </w:rPr>
        <w:t>xam:</w:t>
      </w:r>
      <w:r w:rsidR="00F47D23">
        <w:rPr>
          <w:sz w:val="24"/>
          <w:szCs w:val="24"/>
        </w:rPr>
        <w:t xml:space="preserve"> T</w:t>
      </w:r>
      <w:r w:rsidR="0078151C" w:rsidRPr="00636606">
        <w:rPr>
          <w:sz w:val="24"/>
          <w:szCs w:val="24"/>
        </w:rPr>
        <w:t xml:space="preserve">he final </w:t>
      </w:r>
      <w:r>
        <w:rPr>
          <w:sz w:val="24"/>
          <w:szCs w:val="24"/>
        </w:rPr>
        <w:t>exam</w:t>
      </w:r>
      <w:r w:rsidR="00A97B35" w:rsidRPr="00636606">
        <w:rPr>
          <w:sz w:val="24"/>
          <w:szCs w:val="24"/>
        </w:rPr>
        <w:t xml:space="preserve"> will be distributed on</w:t>
      </w:r>
      <w:r w:rsidR="004F1652" w:rsidRPr="00636606">
        <w:rPr>
          <w:sz w:val="24"/>
          <w:szCs w:val="24"/>
        </w:rPr>
        <w:t xml:space="preserve"> March 5</w:t>
      </w:r>
      <w:r w:rsidR="004F1652" w:rsidRPr="00636606">
        <w:rPr>
          <w:sz w:val="24"/>
          <w:szCs w:val="24"/>
          <w:vertAlign w:val="superscript"/>
        </w:rPr>
        <w:t>th</w:t>
      </w:r>
      <w:r w:rsidR="004F1652" w:rsidRPr="00636606">
        <w:rPr>
          <w:sz w:val="24"/>
          <w:szCs w:val="24"/>
        </w:rPr>
        <w:t xml:space="preserve">, the last day </w:t>
      </w:r>
      <w:r w:rsidR="00636606" w:rsidRPr="00636606">
        <w:rPr>
          <w:sz w:val="24"/>
          <w:szCs w:val="24"/>
        </w:rPr>
        <w:t xml:space="preserve">of class. </w:t>
      </w:r>
      <w:r w:rsidR="004F1652" w:rsidRPr="00636606">
        <w:rPr>
          <w:sz w:val="24"/>
          <w:szCs w:val="24"/>
        </w:rPr>
        <w:t xml:space="preserve"> A hard copy of t</w:t>
      </w:r>
      <w:r w:rsidR="00A97B35" w:rsidRPr="00636606">
        <w:rPr>
          <w:sz w:val="24"/>
          <w:szCs w:val="24"/>
        </w:rPr>
        <w:t xml:space="preserve">he </w:t>
      </w:r>
      <w:r>
        <w:rPr>
          <w:sz w:val="24"/>
          <w:szCs w:val="24"/>
        </w:rPr>
        <w:t xml:space="preserve">completed </w:t>
      </w:r>
      <w:r w:rsidR="00A97B35" w:rsidRPr="00636606">
        <w:rPr>
          <w:b/>
          <w:sz w:val="24"/>
          <w:szCs w:val="24"/>
        </w:rPr>
        <w:t>exam</w:t>
      </w:r>
      <w:r w:rsidR="008F1F9C" w:rsidRPr="00636606">
        <w:rPr>
          <w:b/>
          <w:sz w:val="24"/>
          <w:szCs w:val="24"/>
        </w:rPr>
        <w:t xml:space="preserve"> is </w:t>
      </w:r>
      <w:r w:rsidR="0078151C" w:rsidRPr="00636606">
        <w:rPr>
          <w:b/>
          <w:sz w:val="24"/>
          <w:szCs w:val="24"/>
        </w:rPr>
        <w:t>due</w:t>
      </w:r>
      <w:r w:rsidR="004F1652" w:rsidRPr="00636606">
        <w:rPr>
          <w:b/>
          <w:sz w:val="24"/>
          <w:szCs w:val="24"/>
        </w:rPr>
        <w:t xml:space="preserve"> in my office</w:t>
      </w:r>
      <w:r w:rsidR="0078151C" w:rsidRPr="00636606">
        <w:rPr>
          <w:b/>
          <w:sz w:val="24"/>
          <w:szCs w:val="24"/>
        </w:rPr>
        <w:t xml:space="preserve"> on </w:t>
      </w:r>
      <w:r w:rsidR="00636606">
        <w:rPr>
          <w:b/>
          <w:sz w:val="24"/>
          <w:szCs w:val="24"/>
        </w:rPr>
        <w:t>Tuesday</w:t>
      </w:r>
      <w:r w:rsidR="0078151C" w:rsidRPr="00636606">
        <w:rPr>
          <w:b/>
          <w:sz w:val="24"/>
          <w:szCs w:val="24"/>
        </w:rPr>
        <w:t>,</w:t>
      </w:r>
      <w:r w:rsidR="00461F6A" w:rsidRPr="00636606">
        <w:rPr>
          <w:b/>
          <w:sz w:val="24"/>
          <w:szCs w:val="24"/>
        </w:rPr>
        <w:t xml:space="preserve"> March 1</w:t>
      </w:r>
      <w:r w:rsidR="00636606">
        <w:rPr>
          <w:b/>
          <w:sz w:val="24"/>
          <w:szCs w:val="24"/>
        </w:rPr>
        <w:t>3</w:t>
      </w:r>
      <w:r w:rsidR="00461F6A" w:rsidRPr="00636606">
        <w:rPr>
          <w:b/>
          <w:sz w:val="24"/>
          <w:szCs w:val="24"/>
          <w:vertAlign w:val="superscript"/>
        </w:rPr>
        <w:t>th</w:t>
      </w:r>
      <w:r w:rsidR="00461F6A" w:rsidRPr="00636606">
        <w:rPr>
          <w:b/>
          <w:sz w:val="24"/>
          <w:szCs w:val="24"/>
        </w:rPr>
        <w:t xml:space="preserve"> </w:t>
      </w:r>
      <w:r w:rsidR="00A97B35" w:rsidRPr="00636606">
        <w:rPr>
          <w:b/>
          <w:sz w:val="24"/>
          <w:szCs w:val="24"/>
        </w:rPr>
        <w:t>by</w:t>
      </w:r>
      <w:r w:rsidR="008F1F9C" w:rsidRPr="00636606">
        <w:rPr>
          <w:b/>
          <w:sz w:val="24"/>
          <w:szCs w:val="24"/>
        </w:rPr>
        <w:t xml:space="preserve"> 12</w:t>
      </w:r>
      <w:r w:rsidR="004F1652" w:rsidRPr="00636606">
        <w:rPr>
          <w:b/>
          <w:sz w:val="24"/>
          <w:szCs w:val="24"/>
        </w:rPr>
        <w:t xml:space="preserve"> noon</w:t>
      </w:r>
      <w:r w:rsidR="00461F6A" w:rsidRPr="00636606">
        <w:rPr>
          <w:b/>
          <w:sz w:val="24"/>
          <w:szCs w:val="24"/>
        </w:rPr>
        <w:t xml:space="preserve">. </w:t>
      </w:r>
      <w:r w:rsidR="0078151C" w:rsidRPr="00636606">
        <w:rPr>
          <w:b/>
          <w:sz w:val="24"/>
          <w:szCs w:val="24"/>
        </w:rPr>
        <w:t xml:space="preserve"> </w:t>
      </w:r>
      <w:r w:rsidR="008F1F9C" w:rsidRPr="00636606">
        <w:rPr>
          <w:sz w:val="24"/>
          <w:szCs w:val="24"/>
        </w:rPr>
        <w:t>No late exams will be accepted without a written medical excuse.</w:t>
      </w:r>
      <w:r w:rsidR="00461F6A" w:rsidRPr="00636606">
        <w:rPr>
          <w:sz w:val="24"/>
          <w:szCs w:val="24"/>
        </w:rPr>
        <w:t xml:space="preserve"> </w:t>
      </w:r>
      <w:r w:rsidR="00636606">
        <w:rPr>
          <w:sz w:val="24"/>
          <w:szCs w:val="24"/>
        </w:rPr>
        <w:t xml:space="preserve"> </w:t>
      </w:r>
    </w:p>
    <w:sectPr w:rsidR="00A97B35" w:rsidRPr="00B11AB7" w:rsidSect="00994210">
      <w:footerReference w:type="even" r:id="rId14"/>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78AC7" w14:textId="77777777" w:rsidR="00CB2C5F" w:rsidRDefault="00CB2C5F" w:rsidP="007552E9">
      <w:r>
        <w:separator/>
      </w:r>
    </w:p>
  </w:endnote>
  <w:endnote w:type="continuationSeparator" w:id="0">
    <w:p w14:paraId="5F4B39EE" w14:textId="77777777" w:rsidR="00CB2C5F" w:rsidRDefault="00CB2C5F" w:rsidP="0075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3856C" w14:textId="77777777" w:rsidR="00CB2C5F" w:rsidRDefault="00CB2C5F" w:rsidP="007552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5DB708" w14:textId="77777777" w:rsidR="00CB2C5F" w:rsidRDefault="00CB2C5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B640B" w14:textId="44CC042C" w:rsidR="00CB2C5F" w:rsidRDefault="00CB2C5F" w:rsidP="007552E9">
    <w:pPr>
      <w:pStyle w:val="Footer"/>
      <w:framePr w:wrap="around" w:vAnchor="text" w:hAnchor="margin" w:xAlign="center" w:y="1"/>
      <w:rPr>
        <w:rStyle w:val="PageNumber"/>
      </w:rPr>
    </w:pPr>
    <w:r>
      <w:rPr>
        <w:rStyle w:val="PageNumber"/>
      </w:rPr>
      <w:t xml:space="preserve">america &amp; the world </w:t>
    </w:r>
    <w:r>
      <w:rPr>
        <w:rStyle w:val="PageNumber"/>
      </w:rPr>
      <w:fldChar w:fldCharType="begin"/>
    </w:r>
    <w:r>
      <w:rPr>
        <w:rStyle w:val="PageNumber"/>
      </w:rPr>
      <w:instrText xml:space="preserve">PAGE  </w:instrText>
    </w:r>
    <w:r>
      <w:rPr>
        <w:rStyle w:val="PageNumber"/>
      </w:rPr>
      <w:fldChar w:fldCharType="separate"/>
    </w:r>
    <w:r w:rsidR="00A97249">
      <w:rPr>
        <w:rStyle w:val="PageNumber"/>
        <w:noProof/>
      </w:rPr>
      <w:t>1</w:t>
    </w:r>
    <w:r>
      <w:rPr>
        <w:rStyle w:val="PageNumber"/>
      </w:rPr>
      <w:fldChar w:fldCharType="end"/>
    </w:r>
  </w:p>
  <w:p w14:paraId="120C523B" w14:textId="77777777" w:rsidR="00CB2C5F" w:rsidRDefault="00CB2C5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5115A" w14:textId="77777777" w:rsidR="00CB2C5F" w:rsidRDefault="00CB2C5F" w:rsidP="007552E9">
      <w:r>
        <w:separator/>
      </w:r>
    </w:p>
  </w:footnote>
  <w:footnote w:type="continuationSeparator" w:id="0">
    <w:p w14:paraId="600DBFA2" w14:textId="77777777" w:rsidR="00CB2C5F" w:rsidRDefault="00CB2C5F" w:rsidP="007552E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810"/>
    <w:multiLevelType w:val="hybridMultilevel"/>
    <w:tmpl w:val="3EE89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F7936"/>
    <w:multiLevelType w:val="hybridMultilevel"/>
    <w:tmpl w:val="9C062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BEC"/>
    <w:rsid w:val="000066CF"/>
    <w:rsid w:val="00012627"/>
    <w:rsid w:val="0002737D"/>
    <w:rsid w:val="000521D3"/>
    <w:rsid w:val="00052E4E"/>
    <w:rsid w:val="000662C2"/>
    <w:rsid w:val="00072D79"/>
    <w:rsid w:val="00075FBF"/>
    <w:rsid w:val="00081DFB"/>
    <w:rsid w:val="001454D0"/>
    <w:rsid w:val="00163010"/>
    <w:rsid w:val="001E3D36"/>
    <w:rsid w:val="002162B6"/>
    <w:rsid w:val="002170FC"/>
    <w:rsid w:val="00220AD1"/>
    <w:rsid w:val="0025794F"/>
    <w:rsid w:val="0028254C"/>
    <w:rsid w:val="00304BF6"/>
    <w:rsid w:val="003559AC"/>
    <w:rsid w:val="00410CDB"/>
    <w:rsid w:val="00434B01"/>
    <w:rsid w:val="00461F6A"/>
    <w:rsid w:val="00486427"/>
    <w:rsid w:val="00486D33"/>
    <w:rsid w:val="004920CF"/>
    <w:rsid w:val="004D5EB9"/>
    <w:rsid w:val="004E36C2"/>
    <w:rsid w:val="004F1652"/>
    <w:rsid w:val="005101F0"/>
    <w:rsid w:val="005666DC"/>
    <w:rsid w:val="00575D29"/>
    <w:rsid w:val="005A021D"/>
    <w:rsid w:val="005F29CB"/>
    <w:rsid w:val="006204B9"/>
    <w:rsid w:val="00636606"/>
    <w:rsid w:val="00661572"/>
    <w:rsid w:val="0066652B"/>
    <w:rsid w:val="00673B6B"/>
    <w:rsid w:val="00674516"/>
    <w:rsid w:val="00676EC7"/>
    <w:rsid w:val="006A7A03"/>
    <w:rsid w:val="00737238"/>
    <w:rsid w:val="00753069"/>
    <w:rsid w:val="007552E9"/>
    <w:rsid w:val="007812C6"/>
    <w:rsid w:val="0078151C"/>
    <w:rsid w:val="007C7F2E"/>
    <w:rsid w:val="007E3A09"/>
    <w:rsid w:val="007F2128"/>
    <w:rsid w:val="007F49CF"/>
    <w:rsid w:val="00823C15"/>
    <w:rsid w:val="00825AF7"/>
    <w:rsid w:val="008331D4"/>
    <w:rsid w:val="00873685"/>
    <w:rsid w:val="008C349A"/>
    <w:rsid w:val="008F1F9C"/>
    <w:rsid w:val="00900E51"/>
    <w:rsid w:val="00905B6D"/>
    <w:rsid w:val="00952369"/>
    <w:rsid w:val="00994210"/>
    <w:rsid w:val="009D22A8"/>
    <w:rsid w:val="009E0B44"/>
    <w:rsid w:val="009E49C6"/>
    <w:rsid w:val="009F3084"/>
    <w:rsid w:val="00A572B3"/>
    <w:rsid w:val="00A92571"/>
    <w:rsid w:val="00A97249"/>
    <w:rsid w:val="00A97B35"/>
    <w:rsid w:val="00AE4D56"/>
    <w:rsid w:val="00AF3EF2"/>
    <w:rsid w:val="00B11AB7"/>
    <w:rsid w:val="00B135B8"/>
    <w:rsid w:val="00B13B52"/>
    <w:rsid w:val="00B17E2E"/>
    <w:rsid w:val="00B40744"/>
    <w:rsid w:val="00B66CA8"/>
    <w:rsid w:val="00BA5CE1"/>
    <w:rsid w:val="00BD71F5"/>
    <w:rsid w:val="00CB2575"/>
    <w:rsid w:val="00CB2C5F"/>
    <w:rsid w:val="00CC6F05"/>
    <w:rsid w:val="00CD327E"/>
    <w:rsid w:val="00CE2688"/>
    <w:rsid w:val="00CE298E"/>
    <w:rsid w:val="00D02BD8"/>
    <w:rsid w:val="00D12DDD"/>
    <w:rsid w:val="00D23BEC"/>
    <w:rsid w:val="00D2450E"/>
    <w:rsid w:val="00D34679"/>
    <w:rsid w:val="00D517B2"/>
    <w:rsid w:val="00D64B9B"/>
    <w:rsid w:val="00D74444"/>
    <w:rsid w:val="00D92496"/>
    <w:rsid w:val="00D94F37"/>
    <w:rsid w:val="00DD68FC"/>
    <w:rsid w:val="00DE6D5A"/>
    <w:rsid w:val="00E015E8"/>
    <w:rsid w:val="00E07E3A"/>
    <w:rsid w:val="00E16654"/>
    <w:rsid w:val="00E2189A"/>
    <w:rsid w:val="00E23C67"/>
    <w:rsid w:val="00E844CE"/>
    <w:rsid w:val="00EC112D"/>
    <w:rsid w:val="00EE6C00"/>
    <w:rsid w:val="00EF3BC2"/>
    <w:rsid w:val="00F47D17"/>
    <w:rsid w:val="00F47D23"/>
    <w:rsid w:val="00F70F1C"/>
    <w:rsid w:val="00F853AD"/>
    <w:rsid w:val="00FA6657"/>
    <w:rsid w:val="00FB21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68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EC"/>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4210"/>
    <w:pPr>
      <w:keepNext/>
      <w:outlineLvl w:val="0"/>
    </w:pPr>
    <w:rPr>
      <w:sz w:val="24"/>
    </w:rPr>
  </w:style>
  <w:style w:type="paragraph" w:styleId="Heading2">
    <w:name w:val="heading 2"/>
    <w:basedOn w:val="Normal"/>
    <w:next w:val="Normal"/>
    <w:link w:val="Heading2Char"/>
    <w:qFormat/>
    <w:rsid w:val="00994210"/>
    <w:pPr>
      <w:keepNext/>
      <w:outlineLvl w:val="1"/>
    </w:pPr>
    <w:rPr>
      <w:sz w:val="24"/>
      <w:u w:val="single"/>
    </w:rPr>
  </w:style>
  <w:style w:type="paragraph" w:styleId="Heading3">
    <w:name w:val="heading 3"/>
    <w:basedOn w:val="Normal"/>
    <w:next w:val="Normal"/>
    <w:link w:val="Heading3Char"/>
    <w:qFormat/>
    <w:rsid w:val="00994210"/>
    <w:pPr>
      <w:keepNext/>
      <w:ind w:firstLine="720"/>
      <w:outlineLvl w:val="2"/>
    </w:pPr>
    <w:rPr>
      <w:sz w:val="24"/>
    </w:rPr>
  </w:style>
  <w:style w:type="paragraph" w:styleId="Heading5">
    <w:name w:val="heading 5"/>
    <w:basedOn w:val="Normal"/>
    <w:next w:val="Normal"/>
    <w:link w:val="Heading5Char"/>
    <w:qFormat/>
    <w:rsid w:val="00994210"/>
    <w:pPr>
      <w:keepNext/>
      <w:outlineLvl w:val="4"/>
    </w:pPr>
    <w:rPr>
      <w:b/>
      <w:sz w:val="24"/>
    </w:rPr>
  </w:style>
  <w:style w:type="paragraph" w:styleId="Heading8">
    <w:name w:val="heading 8"/>
    <w:basedOn w:val="Normal"/>
    <w:next w:val="Normal"/>
    <w:link w:val="Heading8Char"/>
    <w:qFormat/>
    <w:rsid w:val="00994210"/>
    <w:pPr>
      <w:keepNext/>
      <w:ind w:left="1440" w:hanging="1440"/>
      <w:outlineLvl w:val="7"/>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A695B"/>
    <w:rPr>
      <w:rFonts w:ascii="Lucida Grande" w:hAnsi="Lucida Grande"/>
      <w:sz w:val="18"/>
      <w:szCs w:val="18"/>
    </w:rPr>
  </w:style>
  <w:style w:type="character" w:customStyle="1" w:styleId="BalloonTextChar">
    <w:name w:val="Balloon Text Char"/>
    <w:basedOn w:val="DefaultParagraphFont"/>
    <w:uiPriority w:val="99"/>
    <w:semiHidden/>
    <w:rsid w:val="004A695B"/>
    <w:rPr>
      <w:rFonts w:ascii="Lucida Grande" w:hAnsi="Lucida Grande"/>
      <w:sz w:val="18"/>
      <w:szCs w:val="18"/>
    </w:rPr>
  </w:style>
  <w:style w:type="character" w:customStyle="1" w:styleId="BalloonTextChar1">
    <w:name w:val="Balloon Text Char1"/>
    <w:basedOn w:val="DefaultParagraphFont"/>
    <w:link w:val="BalloonText"/>
    <w:uiPriority w:val="99"/>
    <w:semiHidden/>
    <w:rsid w:val="004A695B"/>
    <w:rPr>
      <w:rFonts w:ascii="Lucida Grande" w:hAnsi="Lucida Grande"/>
      <w:sz w:val="18"/>
      <w:szCs w:val="18"/>
    </w:rPr>
  </w:style>
  <w:style w:type="paragraph" w:styleId="ListParagraph">
    <w:name w:val="List Paragraph"/>
    <w:basedOn w:val="Normal"/>
    <w:uiPriority w:val="34"/>
    <w:qFormat/>
    <w:rsid w:val="00D23BEC"/>
    <w:pPr>
      <w:ind w:left="720"/>
      <w:contextualSpacing/>
    </w:pPr>
  </w:style>
  <w:style w:type="character" w:customStyle="1" w:styleId="Heading1Char">
    <w:name w:val="Heading 1 Char"/>
    <w:basedOn w:val="DefaultParagraphFont"/>
    <w:link w:val="Heading1"/>
    <w:rsid w:val="00994210"/>
    <w:rPr>
      <w:rFonts w:ascii="Times New Roman" w:eastAsia="Times New Roman" w:hAnsi="Times New Roman" w:cs="Times New Roman"/>
      <w:szCs w:val="20"/>
    </w:rPr>
  </w:style>
  <w:style w:type="character" w:customStyle="1" w:styleId="Heading2Char">
    <w:name w:val="Heading 2 Char"/>
    <w:basedOn w:val="DefaultParagraphFont"/>
    <w:link w:val="Heading2"/>
    <w:rsid w:val="00994210"/>
    <w:rPr>
      <w:rFonts w:ascii="Times New Roman" w:eastAsia="Times New Roman" w:hAnsi="Times New Roman" w:cs="Times New Roman"/>
      <w:szCs w:val="20"/>
      <w:u w:val="single"/>
    </w:rPr>
  </w:style>
  <w:style w:type="character" w:customStyle="1" w:styleId="Heading3Char">
    <w:name w:val="Heading 3 Char"/>
    <w:basedOn w:val="DefaultParagraphFont"/>
    <w:link w:val="Heading3"/>
    <w:rsid w:val="00994210"/>
    <w:rPr>
      <w:rFonts w:ascii="Times New Roman" w:eastAsia="Times New Roman" w:hAnsi="Times New Roman" w:cs="Times New Roman"/>
      <w:szCs w:val="20"/>
    </w:rPr>
  </w:style>
  <w:style w:type="character" w:customStyle="1" w:styleId="Heading5Char">
    <w:name w:val="Heading 5 Char"/>
    <w:basedOn w:val="DefaultParagraphFont"/>
    <w:link w:val="Heading5"/>
    <w:rsid w:val="00994210"/>
    <w:rPr>
      <w:rFonts w:ascii="Times New Roman" w:eastAsia="Times New Roman" w:hAnsi="Times New Roman" w:cs="Times New Roman"/>
      <w:b/>
      <w:szCs w:val="20"/>
    </w:rPr>
  </w:style>
  <w:style w:type="character" w:customStyle="1" w:styleId="Heading8Char">
    <w:name w:val="Heading 8 Char"/>
    <w:basedOn w:val="DefaultParagraphFont"/>
    <w:link w:val="Heading8"/>
    <w:rsid w:val="00994210"/>
    <w:rPr>
      <w:rFonts w:ascii="Arial" w:eastAsia="Times New Roman" w:hAnsi="Arial" w:cs="Times New Roman"/>
      <w:b/>
      <w:szCs w:val="20"/>
    </w:rPr>
  </w:style>
  <w:style w:type="paragraph" w:styleId="BodyText">
    <w:name w:val="Body Text"/>
    <w:basedOn w:val="Normal"/>
    <w:link w:val="BodyTextChar"/>
    <w:rsid w:val="00994210"/>
    <w:rPr>
      <w:sz w:val="24"/>
    </w:rPr>
  </w:style>
  <w:style w:type="character" w:customStyle="1" w:styleId="BodyTextChar">
    <w:name w:val="Body Text Char"/>
    <w:basedOn w:val="DefaultParagraphFont"/>
    <w:link w:val="BodyText"/>
    <w:rsid w:val="00994210"/>
    <w:rPr>
      <w:rFonts w:ascii="Times New Roman" w:eastAsia="Times New Roman" w:hAnsi="Times New Roman" w:cs="Times New Roman"/>
      <w:szCs w:val="20"/>
    </w:rPr>
  </w:style>
  <w:style w:type="paragraph" w:styleId="FootnoteText">
    <w:name w:val="footnote text"/>
    <w:basedOn w:val="Normal"/>
    <w:link w:val="FootnoteTextChar"/>
    <w:rsid w:val="00994210"/>
  </w:style>
  <w:style w:type="character" w:customStyle="1" w:styleId="FootnoteTextChar">
    <w:name w:val="Footnote Text Char"/>
    <w:basedOn w:val="DefaultParagraphFont"/>
    <w:link w:val="FootnoteText"/>
    <w:rsid w:val="00994210"/>
    <w:rPr>
      <w:rFonts w:ascii="Times New Roman" w:eastAsia="Times New Roman" w:hAnsi="Times New Roman" w:cs="Times New Roman"/>
      <w:sz w:val="20"/>
      <w:szCs w:val="20"/>
    </w:rPr>
  </w:style>
  <w:style w:type="paragraph" w:styleId="BodyText2">
    <w:name w:val="Body Text 2"/>
    <w:basedOn w:val="Normal"/>
    <w:link w:val="BodyText2Char"/>
    <w:rsid w:val="00994210"/>
    <w:rPr>
      <w:b/>
      <w:sz w:val="24"/>
    </w:rPr>
  </w:style>
  <w:style w:type="character" w:customStyle="1" w:styleId="BodyText2Char">
    <w:name w:val="Body Text 2 Char"/>
    <w:basedOn w:val="DefaultParagraphFont"/>
    <w:link w:val="BodyText2"/>
    <w:rsid w:val="00994210"/>
    <w:rPr>
      <w:rFonts w:ascii="Times New Roman" w:eastAsia="Times New Roman" w:hAnsi="Times New Roman" w:cs="Times New Roman"/>
      <w:b/>
      <w:szCs w:val="20"/>
    </w:rPr>
  </w:style>
  <w:style w:type="paragraph" w:styleId="BodyTextIndent">
    <w:name w:val="Body Text Indent"/>
    <w:basedOn w:val="Normal"/>
    <w:link w:val="BodyTextIndentChar"/>
    <w:rsid w:val="00994210"/>
    <w:pPr>
      <w:ind w:left="720"/>
    </w:pPr>
    <w:rPr>
      <w:sz w:val="24"/>
    </w:rPr>
  </w:style>
  <w:style w:type="character" w:customStyle="1" w:styleId="BodyTextIndentChar">
    <w:name w:val="Body Text Indent Char"/>
    <w:basedOn w:val="DefaultParagraphFont"/>
    <w:link w:val="BodyTextIndent"/>
    <w:rsid w:val="00994210"/>
    <w:rPr>
      <w:rFonts w:ascii="Times New Roman" w:eastAsia="Times New Roman" w:hAnsi="Times New Roman" w:cs="Times New Roman"/>
      <w:szCs w:val="20"/>
    </w:rPr>
  </w:style>
  <w:style w:type="paragraph" w:styleId="BodyTextIndent3">
    <w:name w:val="Body Text Indent 3"/>
    <w:basedOn w:val="Normal"/>
    <w:link w:val="BodyTextIndent3Char"/>
    <w:rsid w:val="00994210"/>
    <w:pPr>
      <w:ind w:left="1440"/>
    </w:pPr>
    <w:rPr>
      <w:rFonts w:ascii="Arial" w:hAnsi="Arial"/>
      <w:sz w:val="24"/>
    </w:rPr>
  </w:style>
  <w:style w:type="character" w:customStyle="1" w:styleId="BodyTextIndent3Char">
    <w:name w:val="Body Text Indent 3 Char"/>
    <w:basedOn w:val="DefaultParagraphFont"/>
    <w:link w:val="BodyTextIndent3"/>
    <w:rsid w:val="00994210"/>
    <w:rPr>
      <w:rFonts w:ascii="Arial" w:eastAsia="Times New Roman" w:hAnsi="Arial" w:cs="Times New Roman"/>
      <w:szCs w:val="20"/>
    </w:rPr>
  </w:style>
  <w:style w:type="paragraph" w:styleId="Footer">
    <w:name w:val="footer"/>
    <w:basedOn w:val="Normal"/>
    <w:link w:val="FooterChar"/>
    <w:uiPriority w:val="99"/>
    <w:unhideWhenUsed/>
    <w:rsid w:val="007552E9"/>
    <w:pPr>
      <w:tabs>
        <w:tab w:val="center" w:pos="4320"/>
        <w:tab w:val="right" w:pos="8640"/>
      </w:tabs>
    </w:pPr>
  </w:style>
  <w:style w:type="character" w:customStyle="1" w:styleId="FooterChar">
    <w:name w:val="Footer Char"/>
    <w:basedOn w:val="DefaultParagraphFont"/>
    <w:link w:val="Footer"/>
    <w:uiPriority w:val="99"/>
    <w:rsid w:val="007552E9"/>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7552E9"/>
  </w:style>
  <w:style w:type="paragraph" w:styleId="Header">
    <w:name w:val="header"/>
    <w:basedOn w:val="Normal"/>
    <w:link w:val="HeaderChar"/>
    <w:uiPriority w:val="99"/>
    <w:unhideWhenUsed/>
    <w:rsid w:val="007552E9"/>
    <w:pPr>
      <w:tabs>
        <w:tab w:val="center" w:pos="4320"/>
        <w:tab w:val="right" w:pos="8640"/>
      </w:tabs>
    </w:pPr>
  </w:style>
  <w:style w:type="character" w:customStyle="1" w:styleId="HeaderChar">
    <w:name w:val="Header Char"/>
    <w:basedOn w:val="DefaultParagraphFont"/>
    <w:link w:val="Header"/>
    <w:uiPriority w:val="99"/>
    <w:rsid w:val="007552E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F165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EC"/>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4210"/>
    <w:pPr>
      <w:keepNext/>
      <w:outlineLvl w:val="0"/>
    </w:pPr>
    <w:rPr>
      <w:sz w:val="24"/>
    </w:rPr>
  </w:style>
  <w:style w:type="paragraph" w:styleId="Heading2">
    <w:name w:val="heading 2"/>
    <w:basedOn w:val="Normal"/>
    <w:next w:val="Normal"/>
    <w:link w:val="Heading2Char"/>
    <w:qFormat/>
    <w:rsid w:val="00994210"/>
    <w:pPr>
      <w:keepNext/>
      <w:outlineLvl w:val="1"/>
    </w:pPr>
    <w:rPr>
      <w:sz w:val="24"/>
      <w:u w:val="single"/>
    </w:rPr>
  </w:style>
  <w:style w:type="paragraph" w:styleId="Heading3">
    <w:name w:val="heading 3"/>
    <w:basedOn w:val="Normal"/>
    <w:next w:val="Normal"/>
    <w:link w:val="Heading3Char"/>
    <w:qFormat/>
    <w:rsid w:val="00994210"/>
    <w:pPr>
      <w:keepNext/>
      <w:ind w:firstLine="720"/>
      <w:outlineLvl w:val="2"/>
    </w:pPr>
    <w:rPr>
      <w:sz w:val="24"/>
    </w:rPr>
  </w:style>
  <w:style w:type="paragraph" w:styleId="Heading5">
    <w:name w:val="heading 5"/>
    <w:basedOn w:val="Normal"/>
    <w:next w:val="Normal"/>
    <w:link w:val="Heading5Char"/>
    <w:qFormat/>
    <w:rsid w:val="00994210"/>
    <w:pPr>
      <w:keepNext/>
      <w:outlineLvl w:val="4"/>
    </w:pPr>
    <w:rPr>
      <w:b/>
      <w:sz w:val="24"/>
    </w:rPr>
  </w:style>
  <w:style w:type="paragraph" w:styleId="Heading8">
    <w:name w:val="heading 8"/>
    <w:basedOn w:val="Normal"/>
    <w:next w:val="Normal"/>
    <w:link w:val="Heading8Char"/>
    <w:qFormat/>
    <w:rsid w:val="00994210"/>
    <w:pPr>
      <w:keepNext/>
      <w:ind w:left="1440" w:hanging="1440"/>
      <w:outlineLvl w:val="7"/>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A695B"/>
    <w:rPr>
      <w:rFonts w:ascii="Lucida Grande" w:hAnsi="Lucida Grande"/>
      <w:sz w:val="18"/>
      <w:szCs w:val="18"/>
    </w:rPr>
  </w:style>
  <w:style w:type="character" w:customStyle="1" w:styleId="BalloonTextChar">
    <w:name w:val="Balloon Text Char"/>
    <w:basedOn w:val="DefaultParagraphFont"/>
    <w:uiPriority w:val="99"/>
    <w:semiHidden/>
    <w:rsid w:val="004A695B"/>
    <w:rPr>
      <w:rFonts w:ascii="Lucida Grande" w:hAnsi="Lucida Grande"/>
      <w:sz w:val="18"/>
      <w:szCs w:val="18"/>
    </w:rPr>
  </w:style>
  <w:style w:type="character" w:customStyle="1" w:styleId="BalloonTextChar1">
    <w:name w:val="Balloon Text Char1"/>
    <w:basedOn w:val="DefaultParagraphFont"/>
    <w:link w:val="BalloonText"/>
    <w:uiPriority w:val="99"/>
    <w:semiHidden/>
    <w:rsid w:val="004A695B"/>
    <w:rPr>
      <w:rFonts w:ascii="Lucida Grande" w:hAnsi="Lucida Grande"/>
      <w:sz w:val="18"/>
      <w:szCs w:val="18"/>
    </w:rPr>
  </w:style>
  <w:style w:type="paragraph" w:styleId="ListParagraph">
    <w:name w:val="List Paragraph"/>
    <w:basedOn w:val="Normal"/>
    <w:uiPriority w:val="34"/>
    <w:qFormat/>
    <w:rsid w:val="00D23BEC"/>
    <w:pPr>
      <w:ind w:left="720"/>
      <w:contextualSpacing/>
    </w:pPr>
  </w:style>
  <w:style w:type="character" w:customStyle="1" w:styleId="Heading1Char">
    <w:name w:val="Heading 1 Char"/>
    <w:basedOn w:val="DefaultParagraphFont"/>
    <w:link w:val="Heading1"/>
    <w:rsid w:val="00994210"/>
    <w:rPr>
      <w:rFonts w:ascii="Times New Roman" w:eastAsia="Times New Roman" w:hAnsi="Times New Roman" w:cs="Times New Roman"/>
      <w:szCs w:val="20"/>
    </w:rPr>
  </w:style>
  <w:style w:type="character" w:customStyle="1" w:styleId="Heading2Char">
    <w:name w:val="Heading 2 Char"/>
    <w:basedOn w:val="DefaultParagraphFont"/>
    <w:link w:val="Heading2"/>
    <w:rsid w:val="00994210"/>
    <w:rPr>
      <w:rFonts w:ascii="Times New Roman" w:eastAsia="Times New Roman" w:hAnsi="Times New Roman" w:cs="Times New Roman"/>
      <w:szCs w:val="20"/>
      <w:u w:val="single"/>
    </w:rPr>
  </w:style>
  <w:style w:type="character" w:customStyle="1" w:styleId="Heading3Char">
    <w:name w:val="Heading 3 Char"/>
    <w:basedOn w:val="DefaultParagraphFont"/>
    <w:link w:val="Heading3"/>
    <w:rsid w:val="00994210"/>
    <w:rPr>
      <w:rFonts w:ascii="Times New Roman" w:eastAsia="Times New Roman" w:hAnsi="Times New Roman" w:cs="Times New Roman"/>
      <w:szCs w:val="20"/>
    </w:rPr>
  </w:style>
  <w:style w:type="character" w:customStyle="1" w:styleId="Heading5Char">
    <w:name w:val="Heading 5 Char"/>
    <w:basedOn w:val="DefaultParagraphFont"/>
    <w:link w:val="Heading5"/>
    <w:rsid w:val="00994210"/>
    <w:rPr>
      <w:rFonts w:ascii="Times New Roman" w:eastAsia="Times New Roman" w:hAnsi="Times New Roman" w:cs="Times New Roman"/>
      <w:b/>
      <w:szCs w:val="20"/>
    </w:rPr>
  </w:style>
  <w:style w:type="character" w:customStyle="1" w:styleId="Heading8Char">
    <w:name w:val="Heading 8 Char"/>
    <w:basedOn w:val="DefaultParagraphFont"/>
    <w:link w:val="Heading8"/>
    <w:rsid w:val="00994210"/>
    <w:rPr>
      <w:rFonts w:ascii="Arial" w:eastAsia="Times New Roman" w:hAnsi="Arial" w:cs="Times New Roman"/>
      <w:b/>
      <w:szCs w:val="20"/>
    </w:rPr>
  </w:style>
  <w:style w:type="paragraph" w:styleId="BodyText">
    <w:name w:val="Body Text"/>
    <w:basedOn w:val="Normal"/>
    <w:link w:val="BodyTextChar"/>
    <w:rsid w:val="00994210"/>
    <w:rPr>
      <w:sz w:val="24"/>
    </w:rPr>
  </w:style>
  <w:style w:type="character" w:customStyle="1" w:styleId="BodyTextChar">
    <w:name w:val="Body Text Char"/>
    <w:basedOn w:val="DefaultParagraphFont"/>
    <w:link w:val="BodyText"/>
    <w:rsid w:val="00994210"/>
    <w:rPr>
      <w:rFonts w:ascii="Times New Roman" w:eastAsia="Times New Roman" w:hAnsi="Times New Roman" w:cs="Times New Roman"/>
      <w:szCs w:val="20"/>
    </w:rPr>
  </w:style>
  <w:style w:type="paragraph" w:styleId="FootnoteText">
    <w:name w:val="footnote text"/>
    <w:basedOn w:val="Normal"/>
    <w:link w:val="FootnoteTextChar"/>
    <w:rsid w:val="00994210"/>
  </w:style>
  <w:style w:type="character" w:customStyle="1" w:styleId="FootnoteTextChar">
    <w:name w:val="Footnote Text Char"/>
    <w:basedOn w:val="DefaultParagraphFont"/>
    <w:link w:val="FootnoteText"/>
    <w:rsid w:val="00994210"/>
    <w:rPr>
      <w:rFonts w:ascii="Times New Roman" w:eastAsia="Times New Roman" w:hAnsi="Times New Roman" w:cs="Times New Roman"/>
      <w:sz w:val="20"/>
      <w:szCs w:val="20"/>
    </w:rPr>
  </w:style>
  <w:style w:type="paragraph" w:styleId="BodyText2">
    <w:name w:val="Body Text 2"/>
    <w:basedOn w:val="Normal"/>
    <w:link w:val="BodyText2Char"/>
    <w:rsid w:val="00994210"/>
    <w:rPr>
      <w:b/>
      <w:sz w:val="24"/>
    </w:rPr>
  </w:style>
  <w:style w:type="character" w:customStyle="1" w:styleId="BodyText2Char">
    <w:name w:val="Body Text 2 Char"/>
    <w:basedOn w:val="DefaultParagraphFont"/>
    <w:link w:val="BodyText2"/>
    <w:rsid w:val="00994210"/>
    <w:rPr>
      <w:rFonts w:ascii="Times New Roman" w:eastAsia="Times New Roman" w:hAnsi="Times New Roman" w:cs="Times New Roman"/>
      <w:b/>
      <w:szCs w:val="20"/>
    </w:rPr>
  </w:style>
  <w:style w:type="paragraph" w:styleId="BodyTextIndent">
    <w:name w:val="Body Text Indent"/>
    <w:basedOn w:val="Normal"/>
    <w:link w:val="BodyTextIndentChar"/>
    <w:rsid w:val="00994210"/>
    <w:pPr>
      <w:ind w:left="720"/>
    </w:pPr>
    <w:rPr>
      <w:sz w:val="24"/>
    </w:rPr>
  </w:style>
  <w:style w:type="character" w:customStyle="1" w:styleId="BodyTextIndentChar">
    <w:name w:val="Body Text Indent Char"/>
    <w:basedOn w:val="DefaultParagraphFont"/>
    <w:link w:val="BodyTextIndent"/>
    <w:rsid w:val="00994210"/>
    <w:rPr>
      <w:rFonts w:ascii="Times New Roman" w:eastAsia="Times New Roman" w:hAnsi="Times New Roman" w:cs="Times New Roman"/>
      <w:szCs w:val="20"/>
    </w:rPr>
  </w:style>
  <w:style w:type="paragraph" w:styleId="BodyTextIndent3">
    <w:name w:val="Body Text Indent 3"/>
    <w:basedOn w:val="Normal"/>
    <w:link w:val="BodyTextIndent3Char"/>
    <w:rsid w:val="00994210"/>
    <w:pPr>
      <w:ind w:left="1440"/>
    </w:pPr>
    <w:rPr>
      <w:rFonts w:ascii="Arial" w:hAnsi="Arial"/>
      <w:sz w:val="24"/>
    </w:rPr>
  </w:style>
  <w:style w:type="character" w:customStyle="1" w:styleId="BodyTextIndent3Char">
    <w:name w:val="Body Text Indent 3 Char"/>
    <w:basedOn w:val="DefaultParagraphFont"/>
    <w:link w:val="BodyTextIndent3"/>
    <w:rsid w:val="00994210"/>
    <w:rPr>
      <w:rFonts w:ascii="Arial" w:eastAsia="Times New Roman" w:hAnsi="Arial" w:cs="Times New Roman"/>
      <w:szCs w:val="20"/>
    </w:rPr>
  </w:style>
  <w:style w:type="paragraph" w:styleId="Footer">
    <w:name w:val="footer"/>
    <w:basedOn w:val="Normal"/>
    <w:link w:val="FooterChar"/>
    <w:uiPriority w:val="99"/>
    <w:unhideWhenUsed/>
    <w:rsid w:val="007552E9"/>
    <w:pPr>
      <w:tabs>
        <w:tab w:val="center" w:pos="4320"/>
        <w:tab w:val="right" w:pos="8640"/>
      </w:tabs>
    </w:pPr>
  </w:style>
  <w:style w:type="character" w:customStyle="1" w:styleId="FooterChar">
    <w:name w:val="Footer Char"/>
    <w:basedOn w:val="DefaultParagraphFont"/>
    <w:link w:val="Footer"/>
    <w:uiPriority w:val="99"/>
    <w:rsid w:val="007552E9"/>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7552E9"/>
  </w:style>
  <w:style w:type="paragraph" w:styleId="Header">
    <w:name w:val="header"/>
    <w:basedOn w:val="Normal"/>
    <w:link w:val="HeaderChar"/>
    <w:uiPriority w:val="99"/>
    <w:unhideWhenUsed/>
    <w:rsid w:val="007552E9"/>
    <w:pPr>
      <w:tabs>
        <w:tab w:val="center" w:pos="4320"/>
        <w:tab w:val="right" w:pos="8640"/>
      </w:tabs>
    </w:pPr>
  </w:style>
  <w:style w:type="character" w:customStyle="1" w:styleId="HeaderChar">
    <w:name w:val="Header Char"/>
    <w:basedOn w:val="DefaultParagraphFont"/>
    <w:link w:val="Header"/>
    <w:uiPriority w:val="99"/>
    <w:rsid w:val="007552E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F16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osco.foreignpolicy.com/posts/2011/12/07/the_state_of_international_justice_an_interview_with_david_scheffer" TargetMode="External"/><Relationship Id="rId12" Type="http://schemas.openxmlformats.org/officeDocument/2006/relationships/hyperlink" Target="http://www.washingtonpost.com/brady-dennis/2011/02/25/ABMgsCJ_page.html" TargetMode="External"/><Relationship Id="rId13" Type="http://schemas.openxmlformats.org/officeDocument/2006/relationships/hyperlink" Target="http://www.jadaliyya.com/pages/contributors/1155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thecable.foreignpolicy.com/" TargetMode="External"/><Relationship Id="rId9" Type="http://schemas.openxmlformats.org/officeDocument/2006/relationships/hyperlink" Target="http://www.wcas.northwestern.edu/advising/academic.html" TargetMode="External"/><Relationship Id="rId10" Type="http://schemas.openxmlformats.org/officeDocument/2006/relationships/hyperlink" Target="http://www.archbishopofcanterbury.org/articles.php/2062/archbishop-hosts-annual-lambeth-inter-faith-le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1890</Words>
  <Characters>10569</Characters>
  <Application>Microsoft Macintosh Word</Application>
  <DocSecurity>0</DocSecurity>
  <Lines>192</Lines>
  <Paragraphs>29</Paragraphs>
  <ScaleCrop>false</ScaleCrop>
  <Company>northwestern university</Company>
  <LinksUpToDate>false</LinksUpToDate>
  <CharactersWithSpaces>12430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Hurd</dc:creator>
  <cp:keywords/>
  <cp:lastModifiedBy>Elizabeth Hurd</cp:lastModifiedBy>
  <cp:revision>8</cp:revision>
  <cp:lastPrinted>2011-12-08T20:36:00Z</cp:lastPrinted>
  <dcterms:created xsi:type="dcterms:W3CDTF">2012-03-07T23:43:00Z</dcterms:created>
  <dcterms:modified xsi:type="dcterms:W3CDTF">2012-03-07T23:54:00Z</dcterms:modified>
</cp:coreProperties>
</file>